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81" w:rsidRPr="00B85A7D" w:rsidRDefault="00821381" w:rsidP="00BC5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7D">
        <w:rPr>
          <w:rFonts w:ascii="Times New Roman" w:hAnsi="Times New Roman" w:cs="Times New Roman"/>
          <w:b/>
          <w:sz w:val="24"/>
          <w:szCs w:val="24"/>
        </w:rPr>
        <w:t>“</w:t>
      </w:r>
      <w:r w:rsidR="00433053" w:rsidRPr="00B85A7D">
        <w:rPr>
          <w:rFonts w:ascii="Times New Roman" w:hAnsi="Times New Roman" w:cs="Times New Roman"/>
          <w:b/>
          <w:sz w:val="24"/>
          <w:szCs w:val="24"/>
        </w:rPr>
        <w:t>Təsdiq edilmişdir</w:t>
      </w:r>
      <w:r w:rsidRPr="00B85A7D">
        <w:rPr>
          <w:rFonts w:ascii="Times New Roman" w:hAnsi="Times New Roman" w:cs="Times New Roman"/>
          <w:b/>
          <w:sz w:val="24"/>
          <w:szCs w:val="24"/>
        </w:rPr>
        <w:t>”</w:t>
      </w:r>
    </w:p>
    <w:p w:rsidR="00821381" w:rsidRPr="00B85A7D" w:rsidRDefault="00821381" w:rsidP="00BC5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7D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821381" w:rsidRPr="00B85A7D" w:rsidRDefault="00433053" w:rsidP="00BC5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7D">
        <w:rPr>
          <w:rFonts w:ascii="Times New Roman" w:hAnsi="Times New Roman" w:cs="Times New Roman"/>
          <w:b/>
          <w:sz w:val="24"/>
          <w:szCs w:val="24"/>
        </w:rPr>
        <w:t>(İdarə Heyətinin Sədri</w:t>
      </w:r>
      <w:r w:rsidR="00821381" w:rsidRPr="00B85A7D">
        <w:rPr>
          <w:rFonts w:ascii="Times New Roman" w:hAnsi="Times New Roman" w:cs="Times New Roman"/>
          <w:b/>
          <w:sz w:val="24"/>
          <w:szCs w:val="24"/>
        </w:rPr>
        <w:t>)</w:t>
      </w:r>
    </w:p>
    <w:p w:rsidR="00821381" w:rsidRPr="00B85A7D" w:rsidRDefault="00821381" w:rsidP="00BC5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7D">
        <w:rPr>
          <w:rFonts w:ascii="Times New Roman" w:hAnsi="Times New Roman" w:cs="Times New Roman"/>
          <w:b/>
          <w:sz w:val="24"/>
          <w:szCs w:val="24"/>
        </w:rPr>
        <w:t>#____</w:t>
      </w:r>
    </w:p>
    <w:p w:rsidR="00821381" w:rsidRPr="004D32CC" w:rsidRDefault="00433053" w:rsidP="00BC53DF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85A7D">
        <w:rPr>
          <w:rFonts w:ascii="Times New Roman" w:hAnsi="Times New Roman" w:cs="Times New Roman"/>
          <w:b/>
          <w:sz w:val="24"/>
          <w:szCs w:val="24"/>
        </w:rPr>
        <w:t>İyun</w:t>
      </w:r>
      <w:r w:rsidR="00821381" w:rsidRPr="00B85A7D">
        <w:rPr>
          <w:rFonts w:ascii="Times New Roman" w:hAnsi="Times New Roman" w:cs="Times New Roman"/>
          <w:b/>
          <w:sz w:val="24"/>
          <w:szCs w:val="24"/>
        </w:rPr>
        <w:t xml:space="preserve"> “___” , 2019</w:t>
      </w:r>
      <w:r w:rsidR="004D32CC">
        <w:rPr>
          <w:rFonts w:ascii="Times New Roman" w:hAnsi="Times New Roman" w:cs="Times New Roman"/>
          <w:b/>
          <w:sz w:val="24"/>
          <w:szCs w:val="24"/>
          <w:lang w:val="az-Latn-AZ"/>
        </w:rPr>
        <w:t>-cu il</w:t>
      </w:r>
    </w:p>
    <w:p w:rsidR="00821381" w:rsidRPr="00B85A7D" w:rsidRDefault="00821381" w:rsidP="00BC5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7D">
        <w:rPr>
          <w:rFonts w:ascii="Times New Roman" w:hAnsi="Times New Roman" w:cs="Times New Roman"/>
          <w:b/>
          <w:sz w:val="24"/>
          <w:szCs w:val="24"/>
        </w:rPr>
        <w:t>1</w:t>
      </w:r>
      <w:r w:rsidR="00433053" w:rsidRPr="00B85A7D">
        <w:rPr>
          <w:rFonts w:ascii="Times New Roman" w:hAnsi="Times New Roman" w:cs="Times New Roman"/>
          <w:b/>
          <w:sz w:val="24"/>
          <w:szCs w:val="24"/>
        </w:rPr>
        <w:t xml:space="preserve"> iyul </w:t>
      </w:r>
      <w:r w:rsidRPr="00B85A7D">
        <w:rPr>
          <w:rFonts w:ascii="Times New Roman" w:hAnsi="Times New Roman" w:cs="Times New Roman"/>
          <w:b/>
          <w:sz w:val="24"/>
          <w:szCs w:val="24"/>
        </w:rPr>
        <w:t>2019</w:t>
      </w:r>
      <w:r w:rsidR="00433053" w:rsidRPr="00B85A7D">
        <w:rPr>
          <w:rFonts w:ascii="Times New Roman" w:hAnsi="Times New Roman" w:cs="Times New Roman"/>
          <w:b/>
          <w:sz w:val="24"/>
          <w:szCs w:val="24"/>
        </w:rPr>
        <w:t>-cu il tarixdən qüvvədədir</w:t>
      </w: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85A7D" w:rsidRDefault="00821381" w:rsidP="00BC5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7D">
        <w:rPr>
          <w:rFonts w:ascii="Times New Roman" w:hAnsi="Times New Roman" w:cs="Times New Roman"/>
          <w:b/>
          <w:sz w:val="28"/>
          <w:szCs w:val="28"/>
        </w:rPr>
        <w:t>AZ</w:t>
      </w:r>
      <w:r w:rsidR="00433053" w:rsidRPr="00B85A7D">
        <w:rPr>
          <w:rFonts w:ascii="Times New Roman" w:hAnsi="Times New Roman" w:cs="Times New Roman"/>
          <w:b/>
          <w:sz w:val="28"/>
          <w:szCs w:val="28"/>
        </w:rPr>
        <w:t>ƏRBAYCAN QİYMƏTLƏNDİRİCİLƏR CƏMİYYƏTİ</w:t>
      </w:r>
    </w:p>
    <w:p w:rsidR="003F3EC6" w:rsidRPr="00B85A7D" w:rsidRDefault="00B85A7D" w:rsidP="00B85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BEYNƏLXALQ </w:t>
      </w:r>
      <w:r w:rsidR="00433053" w:rsidRPr="00B85A7D">
        <w:rPr>
          <w:rFonts w:ascii="Times New Roman" w:hAnsi="Times New Roman" w:cs="Times New Roman"/>
          <w:b/>
          <w:sz w:val="28"/>
          <w:szCs w:val="28"/>
        </w:rPr>
        <w:t>QİYMƏTLƏNDİRMƏ STANDARTLARI ÜZRƏ XİDMƏTLƏR TƏQDİM EDƏN FİRMALARINQEYDİYYATI QAYDALARI</w:t>
      </w:r>
    </w:p>
    <w:p w:rsidR="00821381" w:rsidRPr="00BC53DF" w:rsidRDefault="00821381" w:rsidP="00B85A7D">
      <w:pPr>
        <w:rPr>
          <w:rFonts w:ascii="Times New Roman" w:hAnsi="Times New Roman" w:cs="Times New Roman"/>
          <w:b/>
          <w:sz w:val="44"/>
          <w:szCs w:val="44"/>
        </w:rPr>
      </w:pPr>
    </w:p>
    <w:p w:rsidR="00821381" w:rsidRPr="00BC53DF" w:rsidRDefault="00F63EA9" w:rsidP="00BC5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908050" cy="450850"/>
            <wp:effectExtent l="0" t="0" r="6350" b="6350"/>
            <wp:docPr id="1" name="Рисунок 1" descr="AQ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QC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81" w:rsidRPr="00BC53DF" w:rsidRDefault="00821381" w:rsidP="00BC53DF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BC53DF">
        <w:rPr>
          <w:rFonts w:ascii="Times New Roman" w:hAnsi="Times New Roman" w:cs="Times New Roman"/>
          <w:lang w:val="az-Latn-AZ"/>
        </w:rPr>
        <w:t>Az</w:t>
      </w:r>
      <w:r w:rsidR="00433053" w:rsidRPr="00BC53DF">
        <w:rPr>
          <w:rFonts w:ascii="Times New Roman" w:hAnsi="Times New Roman" w:cs="Times New Roman"/>
          <w:lang w:val="az-Latn-AZ"/>
        </w:rPr>
        <w:t>ə</w:t>
      </w:r>
      <w:r w:rsidRPr="00BC53DF">
        <w:rPr>
          <w:rFonts w:ascii="Times New Roman" w:hAnsi="Times New Roman" w:cs="Times New Roman"/>
          <w:lang w:val="az-Latn-AZ"/>
        </w:rPr>
        <w:t>rba</w:t>
      </w:r>
      <w:r w:rsidR="00433053" w:rsidRPr="00BC53DF">
        <w:rPr>
          <w:rFonts w:ascii="Times New Roman" w:hAnsi="Times New Roman" w:cs="Times New Roman"/>
          <w:lang w:val="az-Latn-AZ"/>
        </w:rPr>
        <w:t>yc</w:t>
      </w:r>
      <w:r w:rsidRPr="00BC53DF">
        <w:rPr>
          <w:rFonts w:ascii="Times New Roman" w:hAnsi="Times New Roman" w:cs="Times New Roman"/>
          <w:lang w:val="az-Latn-AZ"/>
        </w:rPr>
        <w:t>an Re</w:t>
      </w:r>
      <w:r w:rsidR="00433053" w:rsidRPr="00BC53DF">
        <w:rPr>
          <w:rFonts w:ascii="Times New Roman" w:hAnsi="Times New Roman" w:cs="Times New Roman"/>
          <w:lang w:val="az-Latn-AZ"/>
        </w:rPr>
        <w:t>s</w:t>
      </w:r>
      <w:r w:rsidRPr="00BC53DF">
        <w:rPr>
          <w:rFonts w:ascii="Times New Roman" w:hAnsi="Times New Roman" w:cs="Times New Roman"/>
          <w:lang w:val="az-Latn-AZ"/>
        </w:rPr>
        <w:t>publi</w:t>
      </w:r>
      <w:r w:rsidR="00433053" w:rsidRPr="00BC53DF">
        <w:rPr>
          <w:rFonts w:ascii="Times New Roman" w:hAnsi="Times New Roman" w:cs="Times New Roman"/>
          <w:lang w:val="az-Latn-AZ"/>
        </w:rPr>
        <w:t>kası</w:t>
      </w:r>
    </w:p>
    <w:p w:rsidR="00821381" w:rsidRPr="00BC53DF" w:rsidRDefault="00821381" w:rsidP="00BC53DF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BC53DF">
        <w:rPr>
          <w:rFonts w:ascii="Times New Roman" w:hAnsi="Times New Roman" w:cs="Times New Roman"/>
          <w:lang w:val="az-Latn-AZ"/>
        </w:rPr>
        <w:t>Bak</w:t>
      </w:r>
      <w:r w:rsidR="00433053" w:rsidRPr="00BC53DF">
        <w:rPr>
          <w:rFonts w:ascii="Times New Roman" w:hAnsi="Times New Roman" w:cs="Times New Roman"/>
          <w:lang w:val="az-Latn-AZ"/>
        </w:rPr>
        <w:t>ı</w:t>
      </w:r>
      <w:r w:rsidRPr="00BC53DF">
        <w:rPr>
          <w:rFonts w:ascii="Times New Roman" w:hAnsi="Times New Roman" w:cs="Times New Roman"/>
          <w:lang w:val="az-Latn-AZ"/>
        </w:rPr>
        <w:t xml:space="preserve">,  </w:t>
      </w:r>
      <w:r w:rsidR="002864D5" w:rsidRPr="002864D5">
        <w:rPr>
          <w:rFonts w:ascii="Times New Roman" w:hAnsi="Times New Roman" w:cs="Times New Roman"/>
          <w:lang w:val="az-Latn-AZ"/>
        </w:rPr>
        <w:t>Xətai rayonu</w:t>
      </w:r>
      <w:r w:rsidRPr="00BC53DF">
        <w:rPr>
          <w:rFonts w:ascii="Times New Roman" w:hAnsi="Times New Roman" w:cs="Times New Roman"/>
          <w:lang w:val="az-Latn-AZ"/>
        </w:rPr>
        <w:t xml:space="preserve">, </w:t>
      </w:r>
    </w:p>
    <w:p w:rsidR="002864D5" w:rsidRDefault="002864D5" w:rsidP="00BC53DF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2864D5">
        <w:rPr>
          <w:rFonts w:ascii="Times New Roman" w:hAnsi="Times New Roman" w:cs="Times New Roman"/>
          <w:lang w:val="az-Latn-AZ"/>
        </w:rPr>
        <w:t>Babək prospekti, Ələddin Quliyev küç., 11 / 31, C girişi, 13 / 11</w:t>
      </w:r>
    </w:p>
    <w:p w:rsidR="00821381" w:rsidRPr="00BC53DF" w:rsidRDefault="002864D5" w:rsidP="00BC53DF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E-mail</w:t>
      </w:r>
      <w:r w:rsidR="00821381" w:rsidRPr="00BC53DF">
        <w:rPr>
          <w:rFonts w:ascii="Times New Roman" w:hAnsi="Times New Roman" w:cs="Times New Roman"/>
          <w:lang w:val="az-Latn-AZ"/>
        </w:rPr>
        <w:t xml:space="preserve">: </w:t>
      </w:r>
      <w:hyperlink r:id="rId10" w:history="1">
        <w:r w:rsidR="00821381" w:rsidRPr="00BC53DF">
          <w:rPr>
            <w:rStyle w:val="a3"/>
            <w:rFonts w:ascii="Times New Roman" w:hAnsi="Times New Roman" w:cs="Times New Roman"/>
            <w:lang w:val="az-Latn-AZ"/>
          </w:rPr>
          <w:t>info@aqc.az</w:t>
        </w:r>
      </w:hyperlink>
    </w:p>
    <w:p w:rsidR="00821381" w:rsidRPr="00BC53DF" w:rsidRDefault="00821381" w:rsidP="00BC53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3DF">
        <w:rPr>
          <w:rFonts w:ascii="Times New Roman" w:hAnsi="Times New Roman" w:cs="Times New Roman"/>
          <w:lang w:val="az-Latn-AZ"/>
        </w:rPr>
        <w:t xml:space="preserve">Tel: (+994 12) </w:t>
      </w:r>
      <w:r w:rsidR="002864D5" w:rsidRPr="002864D5">
        <w:rPr>
          <w:rFonts w:ascii="Times New Roman" w:hAnsi="Times New Roman" w:cs="Times New Roman"/>
          <w:lang w:val="az-Latn-AZ"/>
        </w:rPr>
        <w:t>409</w:t>
      </w:r>
      <w:r w:rsidR="002864D5">
        <w:rPr>
          <w:rFonts w:ascii="Times New Roman" w:hAnsi="Times New Roman" w:cs="Times New Roman"/>
          <w:lang w:val="az-Latn-AZ"/>
        </w:rPr>
        <w:t xml:space="preserve"> </w:t>
      </w:r>
      <w:r w:rsidR="002864D5" w:rsidRPr="002864D5">
        <w:rPr>
          <w:rFonts w:ascii="Times New Roman" w:hAnsi="Times New Roman" w:cs="Times New Roman"/>
          <w:lang w:val="az-Latn-AZ"/>
        </w:rPr>
        <w:t>72</w:t>
      </w:r>
      <w:r w:rsidR="002864D5">
        <w:rPr>
          <w:rFonts w:ascii="Times New Roman" w:hAnsi="Times New Roman" w:cs="Times New Roman"/>
          <w:lang w:val="az-Latn-AZ"/>
        </w:rPr>
        <w:t xml:space="preserve"> </w:t>
      </w:r>
      <w:r w:rsidR="002864D5" w:rsidRPr="002864D5">
        <w:rPr>
          <w:rFonts w:ascii="Times New Roman" w:hAnsi="Times New Roman" w:cs="Times New Roman"/>
          <w:lang w:val="az-Latn-AZ"/>
        </w:rPr>
        <w:t>92</w:t>
      </w: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</w:rPr>
      </w:pPr>
      <w:r w:rsidRPr="00BC53DF">
        <w:rPr>
          <w:rFonts w:ascii="Times New Roman" w:hAnsi="Times New Roman" w:cs="Times New Roman"/>
          <w:b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ru-RU"/>
        </w:rPr>
        <w:id w:val="1496447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1381" w:rsidRPr="00BC53DF" w:rsidRDefault="00433053" w:rsidP="00BC53DF">
          <w:pPr>
            <w:pStyle w:val="a4"/>
            <w:jc w:val="both"/>
            <w:rPr>
              <w:rFonts w:ascii="Times New Roman" w:hAnsi="Times New Roman" w:cs="Times New Roman"/>
            </w:rPr>
          </w:pPr>
          <w:r w:rsidRPr="00BC53DF">
            <w:rPr>
              <w:rFonts w:ascii="Times New Roman" w:hAnsi="Times New Roman" w:cs="Times New Roman"/>
            </w:rPr>
            <w:t>Mündəricat</w:t>
          </w:r>
        </w:p>
        <w:p w:rsidR="00ED2CCC" w:rsidRDefault="00F95D1E">
          <w:pPr>
            <w:pStyle w:val="11"/>
            <w:tabs>
              <w:tab w:val="right" w:leader="dot" w:pos="9678"/>
            </w:tabs>
            <w:rPr>
              <w:rFonts w:eastAsiaTheme="minorEastAsia"/>
              <w:noProof/>
            </w:rPr>
          </w:pPr>
          <w:r w:rsidRPr="00F95D1E">
            <w:rPr>
              <w:rFonts w:ascii="Times New Roman" w:hAnsi="Times New Roman" w:cs="Times New Roman"/>
            </w:rPr>
            <w:fldChar w:fldCharType="begin"/>
          </w:r>
          <w:r w:rsidR="00821381" w:rsidRPr="00BC53DF">
            <w:rPr>
              <w:rFonts w:ascii="Times New Roman" w:hAnsi="Times New Roman" w:cs="Times New Roman"/>
            </w:rPr>
            <w:instrText xml:space="preserve"> TOC</w:instrText>
          </w:r>
          <w:r w:rsidR="00821381" w:rsidRPr="00BC53DF">
            <w:rPr>
              <w:rFonts w:ascii="Times New Roman" w:hAnsi="Times New Roman" w:cs="Times New Roman"/>
              <w:lang w:val="ru-RU"/>
            </w:rPr>
            <w:instrText xml:space="preserve"> \</w:instrText>
          </w:r>
          <w:r w:rsidR="00821381" w:rsidRPr="00BC53DF">
            <w:rPr>
              <w:rFonts w:ascii="Times New Roman" w:hAnsi="Times New Roman" w:cs="Times New Roman"/>
            </w:rPr>
            <w:instrText>o</w:instrText>
          </w:r>
          <w:r w:rsidR="00821381" w:rsidRPr="00BC53DF">
            <w:rPr>
              <w:rFonts w:ascii="Times New Roman" w:hAnsi="Times New Roman" w:cs="Times New Roman"/>
              <w:lang w:val="ru-RU"/>
            </w:rPr>
            <w:instrText xml:space="preserve"> "1-3" \</w:instrText>
          </w:r>
          <w:r w:rsidR="00821381" w:rsidRPr="00BC53DF">
            <w:rPr>
              <w:rFonts w:ascii="Times New Roman" w:hAnsi="Times New Roman" w:cs="Times New Roman"/>
            </w:rPr>
            <w:instrText>h</w:instrText>
          </w:r>
          <w:r w:rsidR="00821381" w:rsidRPr="00BC53DF">
            <w:rPr>
              <w:rFonts w:ascii="Times New Roman" w:hAnsi="Times New Roman" w:cs="Times New Roman"/>
              <w:lang w:val="ru-RU"/>
            </w:rPr>
            <w:instrText xml:space="preserve"> \</w:instrText>
          </w:r>
          <w:r w:rsidR="00821381" w:rsidRPr="00BC53DF">
            <w:rPr>
              <w:rFonts w:ascii="Times New Roman" w:hAnsi="Times New Roman" w:cs="Times New Roman"/>
            </w:rPr>
            <w:instrText>z</w:instrText>
          </w:r>
          <w:r w:rsidR="00821381" w:rsidRPr="00BC53DF">
            <w:rPr>
              <w:rFonts w:ascii="Times New Roman" w:hAnsi="Times New Roman" w:cs="Times New Roman"/>
              <w:lang w:val="ru-RU"/>
            </w:rPr>
            <w:instrText xml:space="preserve"> \</w:instrText>
          </w:r>
          <w:r w:rsidR="00821381" w:rsidRPr="00BC53DF">
            <w:rPr>
              <w:rFonts w:ascii="Times New Roman" w:hAnsi="Times New Roman" w:cs="Times New Roman"/>
            </w:rPr>
            <w:instrText>u</w:instrText>
          </w:r>
          <w:r w:rsidRPr="00F95D1E">
            <w:rPr>
              <w:rFonts w:ascii="Times New Roman" w:hAnsi="Times New Roman" w:cs="Times New Roman"/>
            </w:rPr>
            <w:fldChar w:fldCharType="separate"/>
          </w:r>
          <w:hyperlink w:anchor="_Toc12891752" w:history="1"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M</w:t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  <w:lang w:val="ru-RU"/>
              </w:rPr>
              <w:t>ə</w:t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qs</w:t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  <w:lang w:val="ru-RU"/>
              </w:rPr>
              <w:t>ə</w:t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d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3" w:history="1"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1.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Təriflər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4" w:history="1"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2.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Əlaqə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5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b/>
                <w:noProof/>
              </w:rPr>
              <w:t>Firmaların Qeydiyyat üçün münasibliyi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6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Qiymətləndirmə Xidməti Bölmələrinin Qeydiyyatı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7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Qeydiyyat Proseduru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8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Məsul Tərəfdaş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59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7.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Qeydiyyatdan irəli gələn öhdəliklər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60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8.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Qeydiyyata xitam verilməsi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44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61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9.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Yoxlama və Şikayətlər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66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62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10.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Qeydiyyat və readmissiya üçün müraciət limiti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66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63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11.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Nəşr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CCC" w:rsidRDefault="00F95D1E">
          <w:pPr>
            <w:pStyle w:val="11"/>
            <w:tabs>
              <w:tab w:val="left" w:pos="660"/>
              <w:tab w:val="right" w:leader="dot" w:pos="9678"/>
            </w:tabs>
            <w:rPr>
              <w:rFonts w:eastAsiaTheme="minorEastAsia"/>
              <w:noProof/>
            </w:rPr>
          </w:pPr>
          <w:hyperlink w:anchor="_Toc12891764" w:history="1"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12.</w:t>
            </w:r>
            <w:r w:rsidR="00ED2CCC">
              <w:rPr>
                <w:rFonts w:eastAsiaTheme="minorEastAsia"/>
                <w:noProof/>
              </w:rPr>
              <w:tab/>
            </w:r>
            <w:r w:rsidR="00ED2CCC" w:rsidRPr="00C41566">
              <w:rPr>
                <w:rStyle w:val="a3"/>
                <w:rFonts w:ascii="Times New Roman" w:hAnsi="Times New Roman" w:cs="Times New Roman"/>
                <w:noProof/>
              </w:rPr>
              <w:t>Ödənişlər</w:t>
            </w:r>
            <w:r w:rsidR="00ED2C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2CCC">
              <w:rPr>
                <w:noProof/>
                <w:webHidden/>
              </w:rPr>
              <w:instrText xml:space="preserve"> PAGEREF _Toc12891764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2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1381" w:rsidRPr="00BC53DF" w:rsidRDefault="00F95D1E" w:rsidP="00BC53DF">
          <w:pPr>
            <w:jc w:val="both"/>
            <w:rPr>
              <w:rFonts w:ascii="Times New Roman" w:hAnsi="Times New Roman" w:cs="Times New Roman"/>
              <w:lang w:val="ru-RU"/>
            </w:rPr>
          </w:pPr>
          <w:r w:rsidRPr="00BC53DF">
            <w:rPr>
              <w:rFonts w:ascii="Times New Roman" w:hAnsi="Times New Roman" w:cs="Times New Roman"/>
              <w:b/>
              <w:bCs/>
              <w:lang w:val="ru-RU"/>
            </w:rPr>
            <w:fldChar w:fldCharType="end"/>
          </w:r>
        </w:p>
      </w:sdtContent>
    </w:sdt>
    <w:p w:rsidR="00821381" w:rsidRPr="00BC53DF" w:rsidRDefault="00821381" w:rsidP="00BC53DF">
      <w:pPr>
        <w:jc w:val="both"/>
        <w:rPr>
          <w:rFonts w:ascii="Times New Roman" w:hAnsi="Times New Roman" w:cs="Times New Roman"/>
          <w:b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b/>
          <w:lang w:val="ru-RU"/>
        </w:rPr>
      </w:pPr>
      <w:r w:rsidRPr="00BC53DF">
        <w:rPr>
          <w:rFonts w:ascii="Times New Roman" w:hAnsi="Times New Roman" w:cs="Times New Roman"/>
          <w:b/>
          <w:lang w:val="ru-RU"/>
        </w:rPr>
        <w:br w:type="page"/>
      </w:r>
    </w:p>
    <w:p w:rsidR="00200137" w:rsidRPr="00BC53DF" w:rsidRDefault="00433053" w:rsidP="00BC53DF">
      <w:pPr>
        <w:pStyle w:val="1"/>
        <w:jc w:val="both"/>
        <w:rPr>
          <w:rFonts w:ascii="Times New Roman" w:hAnsi="Times New Roman" w:cs="Times New Roman"/>
          <w:b/>
          <w:lang w:val="ru-RU"/>
        </w:rPr>
      </w:pPr>
      <w:bookmarkStart w:id="0" w:name="_Toc12891752"/>
      <w:r w:rsidRPr="00BC53DF">
        <w:rPr>
          <w:rFonts w:ascii="Times New Roman" w:hAnsi="Times New Roman" w:cs="Times New Roman"/>
          <w:b/>
        </w:rPr>
        <w:lastRenderedPageBreak/>
        <w:t>M</w:t>
      </w:r>
      <w:r w:rsidRPr="00BC53DF">
        <w:rPr>
          <w:rFonts w:ascii="Times New Roman" w:hAnsi="Times New Roman" w:cs="Times New Roman"/>
          <w:b/>
          <w:lang w:val="ru-RU"/>
        </w:rPr>
        <w:t>ə</w:t>
      </w:r>
      <w:r w:rsidRPr="00BC53DF">
        <w:rPr>
          <w:rFonts w:ascii="Times New Roman" w:hAnsi="Times New Roman" w:cs="Times New Roman"/>
          <w:b/>
        </w:rPr>
        <w:t>qs</w:t>
      </w:r>
      <w:r w:rsidRPr="00BC53DF">
        <w:rPr>
          <w:rFonts w:ascii="Times New Roman" w:hAnsi="Times New Roman" w:cs="Times New Roman"/>
          <w:b/>
          <w:lang w:val="ru-RU"/>
        </w:rPr>
        <w:t>ə</w:t>
      </w:r>
      <w:r w:rsidRPr="00BC53DF">
        <w:rPr>
          <w:rFonts w:ascii="Times New Roman" w:hAnsi="Times New Roman" w:cs="Times New Roman"/>
          <w:b/>
        </w:rPr>
        <w:t>d</w:t>
      </w:r>
      <w:bookmarkEnd w:id="0"/>
    </w:p>
    <w:p w:rsidR="00200137" w:rsidRPr="00D4178F" w:rsidRDefault="00433053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78F">
        <w:rPr>
          <w:rFonts w:ascii="Times New Roman" w:hAnsi="Times New Roman" w:cs="Times New Roman"/>
          <w:sz w:val="24"/>
          <w:szCs w:val="24"/>
        </w:rPr>
        <w:t>BuQaydalar</w:t>
      </w:r>
      <w:r w:rsidR="00F63EA9">
        <w:rPr>
          <w:rStyle w:val="ae"/>
          <w:rFonts w:ascii="Times New Roman" w:hAnsi="Times New Roman" w:cs="Times New Roman"/>
          <w:sz w:val="24"/>
          <w:szCs w:val="24"/>
        </w:rPr>
        <w:endnoteReference w:id="2"/>
      </w:r>
      <w:r w:rsidR="003812EF" w:rsidRPr="00D4178F">
        <w:rPr>
          <w:rFonts w:ascii="Times New Roman" w:hAnsi="Times New Roman" w:cs="Times New Roman"/>
          <w:sz w:val="24"/>
          <w:szCs w:val="24"/>
        </w:rPr>
        <w:t>AQC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 İ</w:t>
      </w:r>
      <w:r w:rsidR="003812EF" w:rsidRPr="00D4178F">
        <w:rPr>
          <w:rFonts w:ascii="Times New Roman" w:hAnsi="Times New Roman" w:cs="Times New Roman"/>
          <w:sz w:val="24"/>
          <w:szCs w:val="24"/>
        </w:rPr>
        <w:t>dar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ə </w:t>
      </w:r>
      <w:r w:rsidR="003812EF" w:rsidRPr="00D4178F">
        <w:rPr>
          <w:rFonts w:ascii="Times New Roman" w:hAnsi="Times New Roman" w:cs="Times New Roman"/>
          <w:sz w:val="24"/>
          <w:szCs w:val="24"/>
        </w:rPr>
        <w:t>Hey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tit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find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nAQC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812EF" w:rsidRPr="00D4178F">
        <w:rPr>
          <w:rFonts w:ascii="Times New Roman" w:hAnsi="Times New Roman" w:cs="Times New Roman"/>
          <w:sz w:val="24"/>
          <w:szCs w:val="24"/>
        </w:rPr>
        <w:t>ninNizamnam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sin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ə </w:t>
      </w:r>
      <w:r w:rsidR="003812EF" w:rsidRPr="00D4178F">
        <w:rPr>
          <w:rFonts w:ascii="Times New Roman" w:hAnsi="Times New Roman" w:cs="Times New Roman"/>
          <w:sz w:val="24"/>
          <w:szCs w:val="24"/>
        </w:rPr>
        <w:t>uy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ğ</w:t>
      </w:r>
      <w:r w:rsidR="003812EF" w:rsidRPr="00D4178F">
        <w:rPr>
          <w:rFonts w:ascii="Times New Roman" w:hAnsi="Times New Roman" w:cs="Times New Roman"/>
          <w:sz w:val="24"/>
          <w:szCs w:val="24"/>
        </w:rPr>
        <w:t>unqaydadaq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buledilmi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ş</w:t>
      </w:r>
      <w:r w:rsidR="003812EF" w:rsidRPr="00D4178F">
        <w:rPr>
          <w:rFonts w:ascii="Times New Roman" w:hAnsi="Times New Roman" w:cs="Times New Roman"/>
          <w:sz w:val="24"/>
          <w:szCs w:val="24"/>
        </w:rPr>
        <w:t>dir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0137" w:rsidRPr="00D4178F" w:rsidRDefault="003812EF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78F">
        <w:rPr>
          <w:rFonts w:ascii="Times New Roman" w:hAnsi="Times New Roman" w:cs="Times New Roman"/>
          <w:sz w:val="24"/>
          <w:szCs w:val="24"/>
        </w:rPr>
        <w:t>Onlara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>ş</w:t>
      </w:r>
      <w:r w:rsidRPr="00D4178F">
        <w:rPr>
          <w:rFonts w:ascii="Times New Roman" w:hAnsi="Times New Roman" w:cs="Times New Roman"/>
          <w:sz w:val="24"/>
          <w:szCs w:val="24"/>
        </w:rPr>
        <w:t>a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>ğı</w:t>
      </w:r>
      <w:r w:rsidRPr="00D4178F">
        <w:rPr>
          <w:rFonts w:ascii="Times New Roman" w:hAnsi="Times New Roman" w:cs="Times New Roman"/>
          <w:sz w:val="24"/>
          <w:szCs w:val="24"/>
        </w:rPr>
        <w:t>dak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D4178F">
        <w:rPr>
          <w:rFonts w:ascii="Times New Roman" w:hAnsi="Times New Roman" w:cs="Times New Roman"/>
          <w:sz w:val="24"/>
          <w:szCs w:val="24"/>
        </w:rPr>
        <w:t>lar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ı </w:t>
      </w:r>
      <w:r w:rsidRPr="00D4178F">
        <w:rPr>
          <w:rFonts w:ascii="Times New Roman" w:hAnsi="Times New Roman" w:cs="Times New Roman"/>
          <w:sz w:val="24"/>
          <w:szCs w:val="24"/>
        </w:rPr>
        <w:t>t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D4178F">
        <w:rPr>
          <w:rFonts w:ascii="Times New Roman" w:hAnsi="Times New Roman" w:cs="Times New Roman"/>
          <w:sz w:val="24"/>
          <w:szCs w:val="24"/>
        </w:rPr>
        <w:t>sbitedirl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D4178F">
        <w:rPr>
          <w:rFonts w:ascii="Times New Roman" w:hAnsi="Times New Roman" w:cs="Times New Roman"/>
          <w:sz w:val="24"/>
          <w:szCs w:val="24"/>
        </w:rPr>
        <w:t>r</w:t>
      </w:r>
      <w:r w:rsidR="00200137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0137" w:rsidRPr="00D4178F" w:rsidRDefault="00200137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3812EF" w:rsidRPr="00D4178F">
        <w:rPr>
          <w:rFonts w:ascii="Times New Roman" w:hAnsi="Times New Roman" w:cs="Times New Roman"/>
          <w:sz w:val="24"/>
          <w:szCs w:val="24"/>
        </w:rPr>
        <w:t>AQChans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ı ş</w:t>
      </w:r>
      <w:r w:rsidR="003812EF" w:rsidRPr="00D4178F">
        <w:rPr>
          <w:rFonts w:ascii="Times New Roman" w:hAnsi="Times New Roman" w:cs="Times New Roman"/>
          <w:sz w:val="24"/>
          <w:szCs w:val="24"/>
        </w:rPr>
        <w:t>irk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tl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riBQS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 ü</w:t>
      </w:r>
      <w:r w:rsidR="003812EF" w:rsidRPr="00D4178F">
        <w:rPr>
          <w:rFonts w:ascii="Times New Roman" w:hAnsi="Times New Roman" w:cs="Times New Roman"/>
          <w:sz w:val="24"/>
          <w:szCs w:val="24"/>
        </w:rPr>
        <w:t>zr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ə </w:t>
      </w:r>
      <w:r w:rsidR="003812EF" w:rsidRPr="00D4178F">
        <w:rPr>
          <w:rFonts w:ascii="Times New Roman" w:hAnsi="Times New Roman" w:cs="Times New Roman"/>
          <w:sz w:val="24"/>
          <w:szCs w:val="24"/>
        </w:rPr>
        <w:t>xidm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tl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rt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qdimed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n</w:t>
      </w:r>
      <w:r w:rsidR="001F5A38">
        <w:rPr>
          <w:rFonts w:ascii="Times New Roman" w:hAnsi="Times New Roman" w:cs="Times New Roman"/>
          <w:sz w:val="24"/>
          <w:szCs w:val="24"/>
        </w:rPr>
        <w:t>F</w:t>
      </w:r>
      <w:r w:rsidR="003812EF" w:rsidRPr="00D4178F">
        <w:rPr>
          <w:rFonts w:ascii="Times New Roman" w:hAnsi="Times New Roman" w:cs="Times New Roman"/>
          <w:sz w:val="24"/>
          <w:szCs w:val="24"/>
        </w:rPr>
        <w:t>irmakimiqeydiyyatdanke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ç</w:t>
      </w:r>
      <w:r w:rsidR="003812EF" w:rsidRPr="00D4178F">
        <w:rPr>
          <w:rFonts w:ascii="Times New Roman" w:hAnsi="Times New Roman" w:cs="Times New Roman"/>
          <w:sz w:val="24"/>
          <w:szCs w:val="24"/>
        </w:rPr>
        <w:t>ir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ə </w:t>
      </w:r>
      <w:r w:rsidR="003812EF" w:rsidRPr="00D4178F">
        <w:rPr>
          <w:rFonts w:ascii="Times New Roman" w:hAnsi="Times New Roman" w:cs="Times New Roman"/>
          <w:sz w:val="24"/>
          <w:szCs w:val="24"/>
        </w:rPr>
        <w:t>bil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00137" w:rsidRPr="00D4178F" w:rsidRDefault="00200137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3812EF" w:rsidRPr="00D4178F">
        <w:rPr>
          <w:rFonts w:ascii="Times New Roman" w:hAnsi="Times New Roman" w:cs="Times New Roman"/>
          <w:sz w:val="24"/>
          <w:szCs w:val="24"/>
        </w:rPr>
        <w:t>Hans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ı </w:t>
      </w:r>
      <w:r w:rsidR="003812EF" w:rsidRPr="00D4178F">
        <w:rPr>
          <w:rFonts w:ascii="Times New Roman" w:hAnsi="Times New Roman" w:cs="Times New Roman"/>
          <w:sz w:val="24"/>
          <w:szCs w:val="24"/>
        </w:rPr>
        <w:t>hallardaFirmaqeydiyyat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 üçü</w:t>
      </w:r>
      <w:r w:rsidR="003812EF" w:rsidRPr="00D4178F">
        <w:rPr>
          <w:rFonts w:ascii="Times New Roman" w:hAnsi="Times New Roman" w:cs="Times New Roman"/>
          <w:sz w:val="24"/>
          <w:szCs w:val="24"/>
        </w:rPr>
        <w:t>nm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="003812EF" w:rsidRPr="00D4178F">
        <w:rPr>
          <w:rFonts w:ascii="Times New Roman" w:hAnsi="Times New Roman" w:cs="Times New Roman"/>
          <w:sz w:val="24"/>
          <w:szCs w:val="24"/>
        </w:rPr>
        <w:t>raci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ted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ə </w:t>
      </w:r>
      <w:r w:rsidR="003812EF" w:rsidRPr="00D4178F">
        <w:rPr>
          <w:rFonts w:ascii="Times New Roman" w:hAnsi="Times New Roman" w:cs="Times New Roman"/>
          <w:sz w:val="24"/>
          <w:szCs w:val="24"/>
        </w:rPr>
        <w:t>bil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00137" w:rsidRPr="00D4178F" w:rsidRDefault="00200137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3812EF" w:rsidRPr="00D4178F">
        <w:rPr>
          <w:rFonts w:ascii="Times New Roman" w:hAnsi="Times New Roman" w:cs="Times New Roman"/>
          <w:sz w:val="24"/>
          <w:szCs w:val="24"/>
        </w:rPr>
        <w:t>Qeydiyyat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812EF" w:rsidRPr="00D4178F">
        <w:rPr>
          <w:rFonts w:ascii="Times New Roman" w:hAnsi="Times New Roman" w:cs="Times New Roman"/>
          <w:sz w:val="24"/>
          <w:szCs w:val="24"/>
        </w:rPr>
        <w:t>qeydiyyatdan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 çı</w:t>
      </w:r>
      <w:r w:rsidR="003812EF" w:rsidRPr="00D4178F">
        <w:rPr>
          <w:rFonts w:ascii="Times New Roman" w:hAnsi="Times New Roman" w:cs="Times New Roman"/>
          <w:sz w:val="24"/>
          <w:szCs w:val="24"/>
        </w:rPr>
        <w:t>xar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="003812EF" w:rsidRPr="00D4178F">
        <w:rPr>
          <w:rFonts w:ascii="Times New Roman" w:hAnsi="Times New Roman" w:cs="Times New Roman"/>
          <w:sz w:val="24"/>
          <w:szCs w:val="24"/>
        </w:rPr>
        <w:t>lmav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 ş</w:t>
      </w:r>
      <w:r w:rsidR="003812EF" w:rsidRPr="00D4178F">
        <w:rPr>
          <w:rFonts w:ascii="Times New Roman" w:hAnsi="Times New Roman" w:cs="Times New Roman"/>
          <w:sz w:val="24"/>
          <w:szCs w:val="24"/>
        </w:rPr>
        <w:t>ikay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tproseduru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21381" w:rsidRPr="00D4178F" w:rsidRDefault="00200137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3812EF" w:rsidRPr="00D4178F">
        <w:rPr>
          <w:rFonts w:ascii="Times New Roman" w:hAnsi="Times New Roman" w:cs="Times New Roman"/>
          <w:sz w:val="24"/>
          <w:szCs w:val="24"/>
        </w:rPr>
        <w:t>Qeydiyyatdanv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 Ş</w:t>
      </w:r>
      <w:r w:rsidR="003812EF" w:rsidRPr="00D4178F">
        <w:rPr>
          <w:rFonts w:ascii="Times New Roman" w:hAnsi="Times New Roman" w:cs="Times New Roman"/>
          <w:sz w:val="24"/>
          <w:szCs w:val="24"/>
        </w:rPr>
        <w:t>irk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tl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 üçü</w:t>
      </w:r>
      <w:r w:rsidR="003812EF" w:rsidRPr="00D4178F">
        <w:rPr>
          <w:rFonts w:ascii="Times New Roman" w:hAnsi="Times New Roman" w:cs="Times New Roman"/>
          <w:sz w:val="24"/>
          <w:szCs w:val="24"/>
        </w:rPr>
        <w:t>nDavran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ış </w:t>
      </w:r>
      <w:r w:rsidR="003812EF" w:rsidRPr="00D4178F">
        <w:rPr>
          <w:rFonts w:ascii="Times New Roman" w:hAnsi="Times New Roman" w:cs="Times New Roman"/>
          <w:sz w:val="24"/>
          <w:szCs w:val="24"/>
        </w:rPr>
        <w:t>M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c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ll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sind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nir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lig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n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 xml:space="preserve"> ö</w:t>
      </w:r>
      <w:r w:rsidR="003812EF" w:rsidRPr="00D4178F">
        <w:rPr>
          <w:rFonts w:ascii="Times New Roman" w:hAnsi="Times New Roman" w:cs="Times New Roman"/>
          <w:sz w:val="24"/>
          <w:szCs w:val="24"/>
        </w:rPr>
        <w:t>hd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likl</w:t>
      </w:r>
      <w:r w:rsidR="003812EF" w:rsidRPr="00D4178F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="003812EF" w:rsidRPr="00D4178F">
        <w:rPr>
          <w:rFonts w:ascii="Times New Roman" w:hAnsi="Times New Roman" w:cs="Times New Roman"/>
          <w:sz w:val="24"/>
          <w:szCs w:val="24"/>
        </w:rPr>
        <w:t>r</w:t>
      </w:r>
      <w:r w:rsidRPr="00D417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1381" w:rsidRPr="00D4178F" w:rsidRDefault="00821381" w:rsidP="00BC5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lang w:val="ru-RU"/>
        </w:rPr>
      </w:pPr>
    </w:p>
    <w:p w:rsidR="00821381" w:rsidRPr="00BC53DF" w:rsidRDefault="00821381" w:rsidP="00BC53DF">
      <w:pPr>
        <w:jc w:val="both"/>
        <w:rPr>
          <w:rFonts w:ascii="Times New Roman" w:hAnsi="Times New Roman" w:cs="Times New Roman"/>
          <w:lang w:val="ru-RU"/>
        </w:rPr>
      </w:pPr>
      <w:r w:rsidRPr="00BC53DF">
        <w:rPr>
          <w:rFonts w:ascii="Times New Roman" w:hAnsi="Times New Roman" w:cs="Times New Roman"/>
          <w:lang w:val="ru-RU"/>
        </w:rPr>
        <w:br w:type="page"/>
      </w:r>
    </w:p>
    <w:p w:rsidR="00821381" w:rsidRPr="00BC53DF" w:rsidRDefault="005C016C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1" w:name="_Toc12891753"/>
      <w:r w:rsidRPr="00BC53DF">
        <w:rPr>
          <w:rFonts w:ascii="Times New Roman" w:hAnsi="Times New Roman" w:cs="Times New Roman"/>
          <w:b/>
        </w:rPr>
        <w:lastRenderedPageBreak/>
        <w:t>Təriflər</w:t>
      </w:r>
      <w:bookmarkEnd w:id="1"/>
    </w:p>
    <w:p w:rsidR="00821381" w:rsidRPr="00BC53DF" w:rsidRDefault="00821381" w:rsidP="00BC53DF">
      <w:pPr>
        <w:spacing w:before="33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821381" w:rsidRPr="00BC53DF" w:rsidRDefault="005C016C" w:rsidP="00BC53DF">
      <w:pPr>
        <w:spacing w:before="3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Hazırki Qaydalarda, əgər kontekst başqa mənanı nəzərdə tutmursa, aşağıdakı əsas anlayışlardan istifadə olunur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381" w:rsidRPr="00BC53DF" w:rsidRDefault="00821381" w:rsidP="00BC53DF">
      <w:pPr>
        <w:spacing w:before="7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C53DF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016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“Cəmiyyətə </w:t>
      </w:r>
      <w:r w:rsidR="005C016C" w:rsidRPr="00BC53DF">
        <w:rPr>
          <w:rFonts w:ascii="Times New Roman" w:hAnsi="Times New Roman" w:cs="Times New Roman"/>
          <w:color w:val="000000"/>
          <w:spacing w:val="-3"/>
          <w:sz w:val="24"/>
          <w:szCs w:val="24"/>
        </w:rPr>
        <w:t>BQS üzrə xidmətlər göstərilməsi”</w:t>
      </w:r>
      <w:r w:rsidR="005C016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“Qiymətləndirmə fəaliyyəti haqqında” Azərbaycan Respublikası Qanununda, </w:t>
      </w:r>
      <w:r w:rsidR="005C016C" w:rsidRPr="00BC53DF">
        <w:rPr>
          <w:rFonts w:ascii="Times New Roman" w:hAnsi="Times New Roman" w:cs="Times New Roman"/>
          <w:sz w:val="24"/>
          <w:szCs w:val="24"/>
        </w:rPr>
        <w:t>Beynəlxalq Qiymətləndirmə Standartlarında və AQC</w:t>
      </w:r>
      <w:r w:rsidR="00D74BE5">
        <w:rPr>
          <w:rFonts w:ascii="Times New Roman" w:hAnsi="Times New Roman" w:cs="Times New Roman"/>
          <w:sz w:val="24"/>
          <w:szCs w:val="24"/>
        </w:rPr>
        <w:t>-nin</w:t>
      </w:r>
      <w:r w:rsidR="005C016C" w:rsidRPr="00BC53DF">
        <w:rPr>
          <w:rFonts w:ascii="Times New Roman" w:hAnsi="Times New Roman" w:cs="Times New Roman"/>
          <w:sz w:val="24"/>
          <w:szCs w:val="24"/>
        </w:rPr>
        <w:t xml:space="preserve"> Nizamnaməsində qəbul edilmiş mənaya müvafiq olaraq peşəkar, korporativ, institusional və bütün digər müştərilərə </w:t>
      </w:r>
      <w:r w:rsidR="005C016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xidmət və ya xidmətlər göstərilməsini bildirir.</w:t>
      </w:r>
    </w:p>
    <w:p w:rsidR="00821381" w:rsidRPr="00BC53DF" w:rsidRDefault="00821381" w:rsidP="00BC53DF">
      <w:pPr>
        <w:spacing w:before="7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5C016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Digər məna bildirilmirsə, </w:t>
      </w:r>
      <w:r w:rsidR="00D4178F" w:rsidRPr="00BC53D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812EF" w:rsidRPr="00BC53DF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D4178F" w:rsidRPr="00BC53DF">
        <w:rPr>
          <w:rFonts w:ascii="Times New Roman" w:hAnsi="Times New Roman" w:cs="Times New Roman"/>
          <w:color w:val="000000"/>
          <w:spacing w:val="-3"/>
          <w:sz w:val="24"/>
          <w:szCs w:val="24"/>
        </w:rPr>
        <w:t>”</w:t>
      </w:r>
      <w:r w:rsidR="005C016C" w:rsidRPr="00BC53DF">
        <w:rPr>
          <w:rFonts w:ascii="Times New Roman" w:hAnsi="Times New Roman" w:cs="Times New Roman"/>
          <w:color w:val="000000"/>
          <w:sz w:val="24"/>
          <w:szCs w:val="24"/>
        </w:rPr>
        <w:t>anlayışı aşağıdakıları əhatə edir:</w:t>
      </w:r>
    </w:p>
    <w:p w:rsidR="00821381" w:rsidRPr="00BC53DF" w:rsidRDefault="00D74BE5" w:rsidP="00D74BE5">
      <w:pPr>
        <w:pStyle w:val="a9"/>
        <w:numPr>
          <w:ilvl w:val="0"/>
          <w:numId w:val="23"/>
        </w:numPr>
        <w:tabs>
          <w:tab w:val="left" w:pos="993"/>
        </w:tabs>
        <w:spacing w:before="13"/>
        <w:ind w:left="567" w:firstLine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5C016C" w:rsidRPr="00BC53DF">
        <w:rPr>
          <w:rFonts w:ascii="Times New Roman" w:hAnsi="Times New Roman" w:cs="Times New Roman"/>
          <w:color w:val="000000"/>
          <w:sz w:val="24"/>
          <w:szCs w:val="24"/>
        </w:rPr>
        <w:t>irkət, məhdud məsuliyyətli cəmiyyət və ya digər korporativ qurum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1381" w:rsidRPr="00BC53DF" w:rsidRDefault="00D74BE5" w:rsidP="00D74BE5">
      <w:pPr>
        <w:pStyle w:val="a9"/>
        <w:numPr>
          <w:ilvl w:val="0"/>
          <w:numId w:val="23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tərəfdaşlıq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821381" w:rsidRPr="00BC53DF" w:rsidRDefault="005C016C" w:rsidP="00D74BE5">
      <w:pPr>
        <w:pStyle w:val="a9"/>
        <w:numPr>
          <w:ilvl w:val="0"/>
          <w:numId w:val="23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yuxarıda göstərilənlərə ekv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ivalent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praktika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821381" w:rsidRPr="00BC53DF" w:rsidRDefault="00D74BE5" w:rsidP="00D74BE5">
      <w:pPr>
        <w:pStyle w:val="a9"/>
        <w:numPr>
          <w:ilvl w:val="0"/>
          <w:numId w:val="23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peşəkar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qurum</w:t>
      </w:r>
      <w:r>
        <w:rPr>
          <w:rFonts w:ascii="Times New Roman" w:hAnsi="Times New Roman" w:cs="Times New Roman"/>
          <w:color w:val="000000"/>
          <w:sz w:val="24"/>
          <w:szCs w:val="24"/>
        </w:rPr>
        <w:t>ların (audit, konsaltinq, rielito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r və s.) Qiymətləndirmə Xidmətləri Bölməsi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21381" w:rsidRPr="00BC53DF" w:rsidRDefault="00821381" w:rsidP="00D74BE5">
      <w:pPr>
        <w:tabs>
          <w:tab w:val="left" w:pos="709"/>
          <w:tab w:val="left" w:pos="851"/>
          <w:tab w:val="left" w:pos="3969"/>
        </w:tabs>
        <w:spacing w:line="390" w:lineRule="exact"/>
        <w:ind w:right="-40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D74B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36A1" w:rsidRPr="00BC53D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Üzvlər</w:t>
      </w:r>
      <w:r w:rsidR="009036A1" w:rsidRPr="00BC53DF">
        <w:rPr>
          <w:rFonts w:ascii="Times New Roman" w:hAnsi="Times New Roman" w:cs="Times New Roman"/>
          <w:color w:val="000000"/>
          <w:spacing w:val="-3"/>
          <w:sz w:val="24"/>
          <w:szCs w:val="24"/>
        </w:rPr>
        <w:t>”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2EF" w:rsidRPr="00BC53DF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-nin üzvlərini bildirir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53D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C53DF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9036A1" w:rsidRPr="00BC53D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74BE5" w:rsidRPr="00ED2CCC">
        <w:rPr>
          <w:rFonts w:ascii="Times New Roman" w:hAnsi="Times New Roman" w:cs="Times New Roman"/>
          <w:color w:val="000000"/>
          <w:sz w:val="24"/>
          <w:szCs w:val="24"/>
        </w:rPr>
        <w:t>Tərəfdaş</w:t>
      </w:r>
      <w:r w:rsidR="009036A1" w:rsidRPr="00ED2CC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D2C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381" w:rsidRPr="00BC53DF" w:rsidRDefault="004B1ECE" w:rsidP="00BC53DF">
      <w:pPr>
        <w:pStyle w:val="a9"/>
        <w:numPr>
          <w:ilvl w:val="0"/>
          <w:numId w:val="21"/>
        </w:numPr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Hüquqi şəxs yaratmadan təkbaşına xidmət göstərən qiymətləndirici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821381" w:rsidRPr="00BC53DF" w:rsidRDefault="004B1ECE" w:rsidP="00BC53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Şirkət</w:t>
      </w:r>
      <w:r w:rsidR="00D74B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direktoru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1381" w:rsidRPr="00BC53DF" w:rsidRDefault="004B1ECE" w:rsidP="00BC53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Öz üzvləri tərəfindən idarə olunan məhdud məsuliyyətli cəmiyyət və ya hər hansı digər qurum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1381" w:rsidRPr="00BC53DF" w:rsidRDefault="004B1ECE" w:rsidP="00BC53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İdarə Heyəti, Müşahidə</w:t>
      </w:r>
      <w:r w:rsidR="00D74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İnzibati Komitənin və ya hər hansı digər korporativ orqanın  üzvləri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1381" w:rsidRPr="00ED2CCC" w:rsidRDefault="004B1ECE" w:rsidP="00ED2CC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Yuxar</w:t>
      </w:r>
      <w:r w:rsidRPr="00BC53D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ı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da göstərilən vəzifələrə </w:t>
      </w:r>
      <w:r w:rsidR="001F5A38" w:rsidRPr="00ED2CCC">
        <w:rPr>
          <w:rFonts w:ascii="Times New Roman" w:hAnsi="Times New Roman" w:cs="Times New Roman"/>
          <w:color w:val="000000"/>
          <w:sz w:val="24"/>
          <w:szCs w:val="24"/>
        </w:rPr>
        <w:t>bərabər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vəzifə tutan şəxs;</w:t>
      </w:r>
    </w:p>
    <w:p w:rsidR="00821381" w:rsidRPr="00BC53DF" w:rsidRDefault="004B1ECE" w:rsidP="00ED2CC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Yuxarıda göstərilən rolların hər hansı birini yerinə yetirən şəxs;</w:t>
      </w:r>
    </w:p>
    <w:p w:rsidR="00821381" w:rsidRPr="00BC53DF" w:rsidRDefault="004B1ECE" w:rsidP="00BC53DF">
      <w:pPr>
        <w:pStyle w:val="a9"/>
        <w:numPr>
          <w:ilvl w:val="0"/>
          <w:numId w:val="21"/>
        </w:numPr>
        <w:spacing w:before="36" w:line="22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Cəmiyyətə qiymətləndirmə xidmətini öz adından və ya vasitəçi kimi </w:t>
      </w:r>
      <w:r w:rsidR="00D74BE5">
        <w:rPr>
          <w:rFonts w:ascii="Times New Roman" w:hAnsi="Times New Roman" w:cs="Times New Roman"/>
          <w:color w:val="000000"/>
          <w:sz w:val="24"/>
          <w:szCs w:val="24"/>
        </w:rPr>
        <w:t xml:space="preserve">fəaliyyət 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göstərən</w:t>
      </w:r>
      <w:r w:rsidR="003812EF" w:rsidRPr="00BC53DF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nın məsul şəxsi və ya işçisi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Belə xidmətlərin göstərilməsi adi halda, adətən vəzifə</w:t>
      </w:r>
      <w:r w:rsidR="00D74BE5">
        <w:rPr>
          <w:rFonts w:ascii="Times New Roman" w:hAnsi="Times New Roman" w:cs="Times New Roman"/>
          <w:color w:val="000000"/>
          <w:sz w:val="24"/>
          <w:szCs w:val="24"/>
        </w:rPr>
        <w:t>si ‘Tərəfdaş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’ və ya ‘Direk</w:t>
      </w:r>
      <w:r w:rsidRPr="00BC53D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C53DF">
        <w:rPr>
          <w:rFonts w:ascii="Times New Roman" w:hAnsi="Times New Roman" w:cs="Times New Roman"/>
          <w:color w:val="000000"/>
          <w:spacing w:val="-16"/>
          <w:sz w:val="24"/>
          <w:szCs w:val="24"/>
        </w:rPr>
        <w:t>’ olan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hər hansı şəxs tərəfində</w:t>
      </w:r>
      <w:r w:rsidR="003C50C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təyin edilən birbaşa nəzarətə məruz qalmır. </w:t>
      </w:r>
    </w:p>
    <w:p w:rsidR="00821381" w:rsidRPr="00BB15BE" w:rsidRDefault="00821381" w:rsidP="00BC53DF">
      <w:pPr>
        <w:spacing w:before="96" w:line="220" w:lineRule="exact"/>
        <w:ind w:left="440" w:right="-40" w:hanging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9475EC" w:rsidRPr="00BB15B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B1ECE" w:rsidRPr="00BB15BE">
        <w:rPr>
          <w:rFonts w:ascii="Times New Roman" w:hAnsi="Times New Roman" w:cs="Times New Roman"/>
          <w:color w:val="000000"/>
          <w:spacing w:val="-3"/>
          <w:sz w:val="24"/>
          <w:szCs w:val="24"/>
        </w:rPr>
        <w:t>Əhəmiyyətli dəyişiklik</w:t>
      </w:r>
      <w:r w:rsidR="009475EC" w:rsidRPr="00BB15BE">
        <w:rPr>
          <w:rFonts w:ascii="Times New Roman" w:hAnsi="Times New Roman" w:cs="Times New Roman"/>
          <w:color w:val="000000"/>
          <w:spacing w:val="-3"/>
          <w:sz w:val="24"/>
          <w:szCs w:val="24"/>
        </w:rPr>
        <w:t>”</w:t>
      </w:r>
      <w:r w:rsidR="004B1ECE" w:rsidRPr="00BB15BE">
        <w:rPr>
          <w:rFonts w:ascii="Times New Roman" w:hAnsi="Times New Roman" w:cs="Times New Roman"/>
          <w:color w:val="000000"/>
          <w:sz w:val="24"/>
          <w:szCs w:val="24"/>
        </w:rPr>
        <w:t>dedikdə</w:t>
      </w:r>
      <w:r w:rsidR="003812EF" w:rsidRPr="00BB15B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4B1ECE" w:rsidRPr="00BB15BE">
        <w:rPr>
          <w:rFonts w:ascii="Times New Roman" w:hAnsi="Times New Roman" w:cs="Times New Roman"/>
          <w:color w:val="000000"/>
          <w:sz w:val="24"/>
          <w:szCs w:val="24"/>
        </w:rPr>
        <w:t>-nin barəsində məlumantlandırılmalı olandəyişikliklər nəzərdə tutulur</w:t>
      </w:r>
      <w:r w:rsidRPr="00BB15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1ECE" w:rsidRPr="00BB15BE">
        <w:rPr>
          <w:rFonts w:ascii="Times New Roman" w:hAnsi="Times New Roman" w:cs="Times New Roman"/>
          <w:color w:val="000000"/>
          <w:sz w:val="24"/>
          <w:szCs w:val="24"/>
        </w:rPr>
        <w:t>Siyahını məhdudlaşdırmadan, onlara aşağıdakılar aiddir</w:t>
      </w:r>
      <w:r w:rsidRPr="00BB15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381" w:rsidRPr="00BC53DF" w:rsidRDefault="00BB15BE" w:rsidP="00BC53DF">
      <w:pPr>
        <w:pStyle w:val="a9"/>
        <w:numPr>
          <w:ilvl w:val="0"/>
          <w:numId w:val="22"/>
        </w:numPr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D2CCC">
        <w:rPr>
          <w:rFonts w:ascii="Times New Roman" w:hAnsi="Times New Roman" w:cs="Times New Roman"/>
          <w:color w:val="000000"/>
          <w:sz w:val="24"/>
          <w:szCs w:val="24"/>
        </w:rPr>
        <w:t xml:space="preserve">Tərəfdaşların 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əhəmiyyətlidəyişikliyi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812EF" w:rsidRPr="00BC53DF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sertifikatlı olub-olmamasından asılı olmayaraq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21381" w:rsidRPr="00BC53DF" w:rsidRDefault="00ED2CCC" w:rsidP="00BC53DF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B15BE" w:rsidRPr="00ED2CCC">
        <w:rPr>
          <w:rFonts w:ascii="Times New Roman" w:hAnsi="Times New Roman" w:cs="Times New Roman"/>
          <w:color w:val="000000"/>
          <w:sz w:val="24"/>
          <w:szCs w:val="24"/>
        </w:rPr>
        <w:t>ərəfdaş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olmayan işçilərin əhəmiyyətlidəyişikliyi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yalnız AQC sertifikatlı işçilər</w:t>
      </w:r>
      <w:r w:rsidR="00821381" w:rsidRPr="00BC53DF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1381" w:rsidRPr="00BC53DF" w:rsidRDefault="004B1ECE" w:rsidP="00BC53DF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Firmaların və onların ofi</w:t>
      </w:r>
      <w:r w:rsidRPr="00BC53DF">
        <w:rPr>
          <w:rFonts w:ascii="Times New Roman" w:hAnsi="Times New Roman" w:cs="Times New Roman"/>
          <w:color w:val="000000"/>
          <w:spacing w:val="-3"/>
          <w:sz w:val="24"/>
          <w:szCs w:val="24"/>
        </w:rPr>
        <w:t>slərinin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əlaqə məlumatlarının əhəmiyyətlidəyişməsi</w:t>
      </w:r>
      <w:r w:rsidR="00821381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1ECE" w:rsidRPr="00BC53DF" w:rsidRDefault="004B1ECE" w:rsidP="00BC53DF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Firma tərəfindən tənzimləyici qaydaların və </w:t>
      </w:r>
      <w:r w:rsidR="00457E97" w:rsidRPr="00BC53DF">
        <w:rPr>
          <w:rFonts w:ascii="Times New Roman" w:hAnsi="Times New Roman" w:cs="Times New Roman"/>
          <w:color w:val="000000"/>
          <w:sz w:val="24"/>
          <w:szCs w:val="24"/>
        </w:rPr>
        <w:t>qanunvericiliyin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əhəmiyyətli pozulması;</w:t>
      </w:r>
    </w:p>
    <w:p w:rsidR="00821381" w:rsidRPr="00BC53DF" w:rsidRDefault="004B1ECE" w:rsidP="00BC53DF">
      <w:pPr>
        <w:pStyle w:val="a9"/>
        <w:numPr>
          <w:ilvl w:val="0"/>
          <w:numId w:val="22"/>
        </w:numPr>
        <w:spacing w:before="36" w:line="22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Ciddi mütəxəssisin professional qurumun işinə aid hesab edə biləcəyi hər hansı digər hal. </w:t>
      </w:r>
    </w:p>
    <w:p w:rsidR="008D7EB4" w:rsidRPr="00BC53DF" w:rsidRDefault="00821381" w:rsidP="00BC53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812EF" w:rsidRPr="00BC53DF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sertifikatlı” - AQC tərəfindən verilmiş Qiymətləndirici S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ertifi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katına malik şəxsdir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053" w:rsidRPr="00BC53DF" w:rsidRDefault="00433053" w:rsidP="00BC5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1.7.  </w:t>
      </w:r>
      <w:r w:rsidR="003812EF" w:rsidRPr="00BC53DF">
        <w:rPr>
          <w:rFonts w:ascii="Times New Roman" w:hAnsi="Times New Roman" w:cs="Times New Roman"/>
          <w:sz w:val="24"/>
          <w:szCs w:val="24"/>
        </w:rPr>
        <w:t>AQC</w:t>
      </w:r>
      <w:r w:rsidRPr="00BC53DF">
        <w:rPr>
          <w:rFonts w:ascii="Times New Roman" w:hAnsi="Times New Roman" w:cs="Times New Roman"/>
          <w:sz w:val="24"/>
          <w:szCs w:val="24"/>
        </w:rPr>
        <w:t xml:space="preserve"> -  Azərbaycan Qiymətləndiricilər Cəmiyyəti</w:t>
      </w:r>
      <w:r w:rsidR="004B1ECE" w:rsidRPr="00BC53DF">
        <w:rPr>
          <w:rFonts w:ascii="Times New Roman" w:hAnsi="Times New Roman" w:cs="Times New Roman"/>
          <w:sz w:val="24"/>
          <w:szCs w:val="24"/>
        </w:rPr>
        <w:t>.</w:t>
      </w:r>
    </w:p>
    <w:p w:rsidR="00433053" w:rsidRPr="00BC53DF" w:rsidRDefault="00433053" w:rsidP="00BC53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b/>
          <w:sz w:val="24"/>
          <w:szCs w:val="24"/>
        </w:rPr>
        <w:t xml:space="preserve">        BQS - Beynəlxalq Qiymətləndirmə</w:t>
      </w:r>
      <w:r w:rsidR="00BB15BE">
        <w:rPr>
          <w:rFonts w:ascii="Times New Roman" w:hAnsi="Times New Roman" w:cs="Times New Roman"/>
          <w:b/>
          <w:sz w:val="24"/>
          <w:szCs w:val="24"/>
        </w:rPr>
        <w:t xml:space="preserve"> Standartları</w:t>
      </w:r>
      <w:r w:rsidR="004B1ECE" w:rsidRPr="00BC53DF">
        <w:rPr>
          <w:rFonts w:ascii="Times New Roman" w:hAnsi="Times New Roman" w:cs="Times New Roman"/>
          <w:b/>
          <w:sz w:val="24"/>
          <w:szCs w:val="24"/>
        </w:rPr>
        <w:t>.</w:t>
      </w:r>
    </w:p>
    <w:p w:rsidR="008D7EB4" w:rsidRPr="00BC53DF" w:rsidRDefault="008D7EB4" w:rsidP="00BC5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B4" w:rsidRPr="00BC53DF" w:rsidRDefault="004B1ECE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2" w:name="_Toc12891754"/>
      <w:r w:rsidRPr="00BC53DF">
        <w:rPr>
          <w:rFonts w:ascii="Times New Roman" w:hAnsi="Times New Roman" w:cs="Times New Roman"/>
          <w:b/>
        </w:rPr>
        <w:lastRenderedPageBreak/>
        <w:t>Əlaqə</w:t>
      </w:r>
      <w:bookmarkEnd w:id="2"/>
    </w:p>
    <w:p w:rsidR="003E49A8" w:rsidRPr="00BC53DF" w:rsidRDefault="003812EF" w:rsidP="00BC53DF">
      <w:pPr>
        <w:pStyle w:val="a9"/>
        <w:spacing w:line="333" w:lineRule="exact"/>
        <w:ind w:right="244"/>
        <w:jc w:val="both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AQCFirmalar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8D7EB4" w:rsidRPr="00BC53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7EB4" w:rsidRPr="00BC53DF" w:rsidRDefault="004B1ECE" w:rsidP="00BC53DF">
      <w:pPr>
        <w:pStyle w:val="a9"/>
        <w:numPr>
          <w:ilvl w:val="0"/>
          <w:numId w:val="1"/>
        </w:numPr>
        <w:spacing w:line="333" w:lineRule="exact"/>
        <w:ind w:right="2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8D7EB4" w:rsidRPr="00BC53DF">
        <w:rPr>
          <w:rFonts w:ascii="Times New Roman" w:hAnsi="Times New Roman" w:cs="Times New Roman"/>
          <w:color w:val="000000"/>
          <w:sz w:val="24"/>
          <w:szCs w:val="24"/>
        </w:rPr>
        <w:t>mai</w:t>
      </w:r>
      <w:r w:rsidR="003E49A8" w:rsidRPr="00BC53D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D7EB4"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7EB4" w:rsidRPr="00BC53DF" w:rsidRDefault="008D7EB4" w:rsidP="00BC53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C53DF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7EB4" w:rsidRPr="00BC53DF" w:rsidRDefault="008D7EB4" w:rsidP="00BC53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fax;</w:t>
      </w:r>
    </w:p>
    <w:p w:rsidR="003E49A8" w:rsidRPr="00BC53DF" w:rsidRDefault="008D7EB4" w:rsidP="00BC53DF">
      <w:pPr>
        <w:pStyle w:val="a9"/>
        <w:numPr>
          <w:ilvl w:val="0"/>
          <w:numId w:val="1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B15BE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və ya</w:t>
      </w:r>
    </w:p>
    <w:p w:rsidR="008D7EB4" w:rsidRPr="00ED2CCC" w:rsidRDefault="004B1ECE" w:rsidP="00BB15BE">
      <w:pPr>
        <w:pStyle w:val="a9"/>
        <w:numPr>
          <w:ilvl w:val="0"/>
          <w:numId w:val="1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D2CCC">
        <w:rPr>
          <w:rFonts w:ascii="Times New Roman" w:hAnsi="Times New Roman" w:cs="Times New Roman"/>
          <w:color w:val="000000"/>
          <w:sz w:val="24"/>
          <w:szCs w:val="24"/>
        </w:rPr>
        <w:t>kuryervasitəsilə əlaqə yaradır.</w:t>
      </w:r>
    </w:p>
    <w:p w:rsidR="00457E97" w:rsidRPr="00BC53DF" w:rsidRDefault="00457E97" w:rsidP="00BC53DF">
      <w:pPr>
        <w:jc w:val="both"/>
        <w:rPr>
          <w:rFonts w:ascii="Times New Roman" w:hAnsi="Times New Roman" w:cs="Times New Roman"/>
          <w:b/>
          <w:bCs/>
          <w:color w:val="1A4DFF"/>
          <w:sz w:val="26"/>
          <w:szCs w:val="26"/>
        </w:rPr>
      </w:pPr>
      <w:r w:rsidRPr="00BC53DF">
        <w:rPr>
          <w:rFonts w:ascii="Times New Roman" w:hAnsi="Times New Roman" w:cs="Times New Roman"/>
          <w:b/>
          <w:bCs/>
          <w:color w:val="1A4DFF"/>
          <w:sz w:val="26"/>
          <w:szCs w:val="26"/>
        </w:rPr>
        <w:br w:type="page"/>
      </w:r>
    </w:p>
    <w:p w:rsidR="007F2339" w:rsidRPr="00BC53DF" w:rsidRDefault="00562887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010302"/>
        </w:rPr>
      </w:pPr>
      <w:bookmarkStart w:id="3" w:name="_Toc12891755"/>
      <w:r w:rsidRPr="00BC53DF">
        <w:rPr>
          <w:rFonts w:ascii="Times New Roman" w:hAnsi="Times New Roman" w:cs="Times New Roman"/>
          <w:b/>
        </w:rPr>
        <w:lastRenderedPageBreak/>
        <w:t xml:space="preserve">Firmaların </w:t>
      </w:r>
      <w:r w:rsidR="004B1ECE" w:rsidRPr="00BC53DF">
        <w:rPr>
          <w:rFonts w:ascii="Times New Roman" w:hAnsi="Times New Roman" w:cs="Times New Roman"/>
          <w:b/>
        </w:rPr>
        <w:t xml:space="preserve">Qeydiyyat üçün </w:t>
      </w:r>
      <w:r w:rsidRPr="00BC53DF">
        <w:rPr>
          <w:rFonts w:ascii="Times New Roman" w:hAnsi="Times New Roman" w:cs="Times New Roman"/>
          <w:b/>
        </w:rPr>
        <w:t>münasibliyi</w:t>
      </w:r>
      <w:bookmarkEnd w:id="3"/>
    </w:p>
    <w:p w:rsidR="00CC559C" w:rsidRPr="00BC53DF" w:rsidRDefault="00CC559C" w:rsidP="00BC53DF">
      <w:pPr>
        <w:jc w:val="both"/>
        <w:rPr>
          <w:rFonts w:ascii="Times New Roman" w:hAnsi="Times New Roman" w:cs="Times New Roman"/>
        </w:rPr>
      </w:pPr>
    </w:p>
    <w:p w:rsidR="004B1ECE" w:rsidRPr="00BC53DF" w:rsidRDefault="00CC559C" w:rsidP="00BC53DF">
      <w:pPr>
        <w:pStyle w:val="a9"/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Qiymətləndirici Firmaların qeydiyyat meyarı </w:t>
      </w:r>
    </w:p>
    <w:p w:rsidR="00CC559C" w:rsidRPr="00BC53DF" w:rsidRDefault="004B1ECE" w:rsidP="00BC53DF">
      <w:pPr>
        <w:pStyle w:val="a9"/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Qiymətləndiricilərin seçilməsi, dəyərləndirilməsi və onların fəaliyyətinin monitorinqi üçün meyarlar aşağıdakıları təmin edir</w:t>
      </w:r>
      <w:r w:rsidR="00CC559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559C" w:rsidRPr="00BC53DF" w:rsidRDefault="004C7084" w:rsidP="00BC53DF">
      <w:pPr>
        <w:pStyle w:val="a9"/>
        <w:numPr>
          <w:ilvl w:val="0"/>
          <w:numId w:val="20"/>
        </w:numPr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Seçilmiş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qiymətləndirici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nin, sifarişləri səriştə ilə yerinə yetirmək üçün müvafiq təhsili, bacarığı və təcrübəsi </w:t>
      </w:r>
      <w:r w:rsidR="00457E97" w:rsidRPr="00BC53DF">
        <w:rPr>
          <w:rFonts w:ascii="Times New Roman" w:hAnsi="Times New Roman" w:cs="Times New Roman"/>
          <w:color w:val="000000"/>
          <w:sz w:val="24"/>
          <w:szCs w:val="24"/>
        </w:rPr>
        <w:t>var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dır</w:t>
      </w:r>
      <w:r w:rsidR="00CC559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559C" w:rsidRPr="00BC53DF" w:rsidRDefault="004C7084" w:rsidP="00BC53DF">
      <w:pPr>
        <w:pStyle w:val="a9"/>
        <w:numPr>
          <w:ilvl w:val="0"/>
          <w:numId w:val="20"/>
        </w:numPr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iymətləndirici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tərəfindən yerinə yetirilən xidmətlərin keyfiyyətinə müntəzəm olaraq </w:t>
      </w:r>
      <w:r w:rsidR="003812EF" w:rsidRPr="00BC53DF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tərəfindən nəzarət olunur</w:t>
      </w:r>
      <w:r w:rsidR="00CC559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559C" w:rsidRPr="00BC53DF" w:rsidRDefault="004C7084" w:rsidP="00BC53DF">
      <w:pPr>
        <w:pStyle w:val="a9"/>
        <w:numPr>
          <w:ilvl w:val="0"/>
          <w:numId w:val="20"/>
        </w:numPr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Seçilmiş şəxs asılı olmayan rəy irəli sürə bilər.</w:t>
      </w:r>
    </w:p>
    <w:p w:rsidR="00CC559C" w:rsidRPr="00BC53DF" w:rsidRDefault="004C7084" w:rsidP="00BC53DF">
      <w:pPr>
        <w:pStyle w:val="a9"/>
        <w:numPr>
          <w:ilvl w:val="0"/>
          <w:numId w:val="20"/>
        </w:numPr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Seçilmiş şəxs müstəqil olmalı, əmlak və ya əməliyyatda birbaşa, dolayı və ya perspektiv maliyyə və ya hər hansı digər marağı olmamalıdır</w:t>
      </w:r>
      <w:r w:rsidR="00CC559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559C" w:rsidRPr="00BC53DF" w:rsidRDefault="004C7084" w:rsidP="00BC53DF">
      <w:pPr>
        <w:pStyle w:val="a9"/>
        <w:numPr>
          <w:ilvl w:val="0"/>
          <w:numId w:val="20"/>
        </w:numPr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Sifarişi yerinə yetirmək üçün seçilmiş</w:t>
      </w:r>
      <w:r w:rsidR="004B1ECE" w:rsidRPr="00BC53DF">
        <w:rPr>
          <w:rFonts w:ascii="Times New Roman" w:hAnsi="Times New Roman" w:cs="Times New Roman"/>
          <w:color w:val="000000"/>
          <w:sz w:val="24"/>
          <w:szCs w:val="24"/>
        </w:rPr>
        <w:t>qiymətləndirici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nin həmin tarixdə qüvvədə olan müvafiq sertifikatı və ya lisenziyası olmalıdır.</w:t>
      </w:r>
    </w:p>
    <w:p w:rsidR="00CC559C" w:rsidRPr="00BC53DF" w:rsidRDefault="004C7084" w:rsidP="00BC53DF">
      <w:pPr>
        <w:pStyle w:val="a9"/>
        <w:numPr>
          <w:ilvl w:val="0"/>
          <w:numId w:val="20"/>
        </w:numPr>
        <w:spacing w:line="333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Seçilmiş qiymətləndiricinin, dəyərləndirilən əmlakın növünə uyğun təhsili, bacarığı və təcrübəsi olmalıdır</w:t>
      </w:r>
      <w:r w:rsidR="00CC559C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2339" w:rsidRPr="00BC53DF" w:rsidRDefault="003812EF" w:rsidP="00BC53DF">
      <w:pPr>
        <w:pStyle w:val="a9"/>
        <w:numPr>
          <w:ilvl w:val="1"/>
          <w:numId w:val="24"/>
        </w:numPr>
        <w:spacing w:before="9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457E97" w:rsidRPr="00BC53D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,</w:t>
      </w:r>
      <w:r w:rsidR="004C7084" w:rsidRPr="00BC53DF">
        <w:rPr>
          <w:rFonts w:ascii="Times New Roman" w:hAnsi="Times New Roman" w:cs="Times New Roman"/>
          <w:color w:val="000000"/>
          <w:sz w:val="24"/>
          <w:szCs w:val="24"/>
        </w:rPr>
        <w:t>AQC tərəfindən BQS üzrə xidmətlər göstərilməsiüçün</w:t>
      </w:r>
      <w:r w:rsidR="005F33F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qeydiyyat məqsədlərinə </w:t>
      </w:r>
      <w:r w:rsidR="004C7084" w:rsidRPr="00BC53DF">
        <w:rPr>
          <w:rFonts w:ascii="Times New Roman" w:hAnsi="Times New Roman" w:cs="Times New Roman"/>
          <w:color w:val="000000"/>
          <w:sz w:val="24"/>
          <w:szCs w:val="24"/>
        </w:rPr>
        <w:t>aşağıdakı hallarda münasibdir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2339" w:rsidRPr="00BC53DF" w:rsidRDefault="003812EF" w:rsidP="00BC53DF">
      <w:pPr>
        <w:pStyle w:val="a9"/>
        <w:numPr>
          <w:ilvl w:val="0"/>
          <w:numId w:val="3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F33F9" w:rsidRPr="00BC53DF">
        <w:rPr>
          <w:rFonts w:ascii="Times New Roman" w:hAnsi="Times New Roman" w:cs="Times New Roman"/>
          <w:color w:val="000000"/>
          <w:sz w:val="24"/>
          <w:szCs w:val="24"/>
        </w:rPr>
        <w:t>Cəmiyyətə qiymətləndirmə xidmətləri göstərir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2339" w:rsidRPr="00BC53DF" w:rsidRDefault="00105541" w:rsidP="00BC53D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Firmanın Partnyorlarının ən azı 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="005F33F9" w:rsidRPr="00BC53DF">
        <w:rPr>
          <w:rFonts w:ascii="Times New Roman" w:hAnsi="Times New Roman" w:cs="Times New Roman"/>
          <w:color w:val="000000"/>
          <w:sz w:val="24"/>
          <w:szCs w:val="24"/>
        </w:rPr>
        <w:t>AQC üzvləri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dir və ya AQC tərəfindən tanınan ekvivalent xarici s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>ertifi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laşma 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(RICS, REV, TEGOVA, American Society of </w:t>
      </w:r>
      <w:r w:rsidR="00562887" w:rsidRPr="00BC53DF">
        <w:rPr>
          <w:rFonts w:ascii="Times New Roman" w:hAnsi="Times New Roman" w:cs="Times New Roman"/>
          <w:color w:val="000000"/>
          <w:sz w:val="24"/>
          <w:szCs w:val="24"/>
        </w:rPr>
        <w:t>Appraiser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2887" w:rsidRPr="00BC53DF">
        <w:rPr>
          <w:rFonts w:ascii="Times New Roman" w:hAnsi="Times New Roman" w:cs="Times New Roman"/>
          <w:color w:val="000000"/>
          <w:sz w:val="24"/>
          <w:szCs w:val="24"/>
        </w:rPr>
        <w:t>və s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BC53DF">
        <w:rPr>
          <w:rFonts w:ascii="Times New Roman" w:hAnsi="Times New Roman" w:cs="Times New Roman"/>
          <w:color w:val="000000"/>
          <w:sz w:val="24"/>
          <w:szCs w:val="24"/>
        </w:rPr>
        <w:t>keçmişdir.</w:t>
      </w:r>
    </w:p>
    <w:p w:rsidR="007F2339" w:rsidRPr="00BC53DF" w:rsidRDefault="00105541" w:rsidP="00BC53DF">
      <w:pPr>
        <w:pStyle w:val="a9"/>
        <w:numPr>
          <w:ilvl w:val="0"/>
          <w:numId w:val="3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Əgər Firma 3.1. -3.2. bəndlərinin tələblərinə cavab verirsə və eyni zamanda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2339" w:rsidRPr="00BC53DF" w:rsidRDefault="003812EF" w:rsidP="00BC53DF">
      <w:pPr>
        <w:pStyle w:val="a9"/>
        <w:numPr>
          <w:ilvl w:val="0"/>
          <w:numId w:val="3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AQC İdarə HeyətiFirma</w:t>
      </w:r>
      <w:r w:rsidR="00105541" w:rsidRPr="00BC53DF">
        <w:rPr>
          <w:rFonts w:ascii="Times New Roman" w:hAnsi="Times New Roman" w:cs="Times New Roman"/>
          <w:color w:val="000000"/>
          <w:sz w:val="24"/>
          <w:szCs w:val="24"/>
        </w:rPr>
        <w:t>nın əsaslandırılmış müddət ərzində BQS-lərə uyğunluğu təmin etmək üçün müvafiq planı tətbiq edəcəyi ilə qane olursa</w:t>
      </w:r>
      <w:r w:rsidR="007F2339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F027E" w:rsidRPr="00BC53DF">
        <w:rPr>
          <w:rFonts w:ascii="Times New Roman" w:hAnsi="Times New Roman" w:cs="Times New Roman"/>
          <w:color w:val="000000"/>
          <w:sz w:val="24"/>
          <w:szCs w:val="24"/>
        </w:rPr>
        <w:t>və ya</w:t>
      </w:r>
    </w:p>
    <w:p w:rsidR="007F2339" w:rsidRPr="00BC53DF" w:rsidRDefault="003812EF" w:rsidP="00BC53DF">
      <w:pPr>
        <w:pStyle w:val="a9"/>
        <w:numPr>
          <w:ilvl w:val="0"/>
          <w:numId w:val="3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AQC İdarə Heyəti</w:t>
      </w:r>
      <w:r w:rsidR="00457E97" w:rsidRPr="00BC53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554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 Firmanın lazımi qaydada BQS-lərə uyğunluğu təmin edən </w:t>
      </w:r>
      <w:r w:rsidR="00457E97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və </w:t>
      </w:r>
      <w:r w:rsidR="00105541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AQC-nin qeydiyyata aldığı digər Firma və ya Firmalar tərəfindən dəstəklənəcəyi və </w:t>
      </w:r>
      <w:r w:rsidR="00457E97" w:rsidRPr="00BC53DF">
        <w:rPr>
          <w:rFonts w:ascii="Times New Roman" w:hAnsi="Times New Roman" w:cs="Times New Roman"/>
          <w:color w:val="000000"/>
          <w:sz w:val="24"/>
          <w:szCs w:val="24"/>
        </w:rPr>
        <w:t xml:space="preserve">ona </w:t>
      </w:r>
      <w:r w:rsidR="00105541" w:rsidRPr="00BC53DF">
        <w:rPr>
          <w:rFonts w:ascii="Times New Roman" w:hAnsi="Times New Roman" w:cs="Times New Roman"/>
          <w:color w:val="000000"/>
          <w:sz w:val="24"/>
          <w:szCs w:val="24"/>
        </w:rPr>
        <w:t>nəzarət ediləcəyi ilə qane olursa,</w:t>
      </w:r>
    </w:p>
    <w:p w:rsidR="007F2339" w:rsidRPr="00BC53DF" w:rsidRDefault="00105541" w:rsidP="00BC53DF">
      <w:pPr>
        <w:pStyle w:val="a9"/>
        <w:tabs>
          <w:tab w:val="left" w:pos="4353"/>
        </w:tabs>
        <w:spacing w:line="305" w:lineRule="exact"/>
        <w:ind w:left="1080"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color w:val="000000"/>
          <w:sz w:val="24"/>
          <w:szCs w:val="24"/>
        </w:rPr>
        <w:t>Firma AQC tərəfindən şərti olaraq qeydiyyata alına bilər.</w:t>
      </w:r>
    </w:p>
    <w:p w:rsidR="008B37C1" w:rsidRPr="00BC53DF" w:rsidRDefault="008B37C1" w:rsidP="00BC53DF">
      <w:pPr>
        <w:pStyle w:val="a9"/>
        <w:tabs>
          <w:tab w:val="left" w:pos="4353"/>
        </w:tabs>
        <w:spacing w:line="305" w:lineRule="exact"/>
        <w:ind w:left="1080" w:right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7C1" w:rsidRPr="00BC53DF" w:rsidRDefault="008B37C1" w:rsidP="00BC53DF">
      <w:pPr>
        <w:pStyle w:val="a9"/>
        <w:numPr>
          <w:ilvl w:val="0"/>
          <w:numId w:val="26"/>
        </w:numPr>
        <w:tabs>
          <w:tab w:val="left" w:pos="4353"/>
        </w:tabs>
        <w:spacing w:line="305" w:lineRule="exact"/>
        <w:ind w:right="2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3DF">
        <w:rPr>
          <w:rFonts w:ascii="Times New Roman" w:hAnsi="Times New Roman" w:cs="Times New Roman"/>
          <w:b/>
          <w:color w:val="000000"/>
          <w:sz w:val="24"/>
          <w:szCs w:val="24"/>
        </w:rPr>
        <w:t>keyfiyy</w:t>
      </w:r>
      <w:r w:rsidRPr="00BC53DF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ətə nəzarət və firmalar üzrə uyğunluq rəylərinin verilməsi üçün monitorinqlərin keçirilməsi, müvafiq rəylərin AQC İdarə Heyətinə təqdim olunması AQC Ekspertiza Mərkəzi tərəfindən həyata keçirilir.</w:t>
      </w:r>
    </w:p>
    <w:p w:rsidR="00457E97" w:rsidRPr="00BC53DF" w:rsidRDefault="00457E97" w:rsidP="00BC53DF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C53DF">
        <w:rPr>
          <w:rFonts w:ascii="Times New Roman" w:hAnsi="Times New Roman" w:cs="Times New Roman"/>
          <w:b/>
          <w:color w:val="000000"/>
          <w:sz w:val="18"/>
          <w:szCs w:val="18"/>
        </w:rPr>
        <w:br w:type="page"/>
      </w:r>
    </w:p>
    <w:p w:rsidR="007F2339" w:rsidRPr="00BC53DF" w:rsidRDefault="00562887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4" w:name="_Toc12891756"/>
      <w:r w:rsidRPr="00BC53DF">
        <w:rPr>
          <w:rFonts w:ascii="Times New Roman" w:hAnsi="Times New Roman" w:cs="Times New Roman"/>
        </w:rPr>
        <w:lastRenderedPageBreak/>
        <w:t xml:space="preserve">Qiymətləndirmə Xidməti Bölmələrinin </w:t>
      </w:r>
      <w:r w:rsidR="004B1ECE" w:rsidRPr="00BC53DF">
        <w:rPr>
          <w:rFonts w:ascii="Times New Roman" w:hAnsi="Times New Roman" w:cs="Times New Roman"/>
        </w:rPr>
        <w:t>Qeydiyyat</w:t>
      </w:r>
      <w:r w:rsidRPr="00BC53DF">
        <w:rPr>
          <w:rFonts w:ascii="Times New Roman" w:hAnsi="Times New Roman" w:cs="Times New Roman"/>
        </w:rPr>
        <w:t>ı</w:t>
      </w:r>
      <w:bookmarkEnd w:id="4"/>
    </w:p>
    <w:p w:rsidR="007F2339" w:rsidRPr="00EF027E" w:rsidRDefault="00562887" w:rsidP="00BC53DF">
      <w:pPr>
        <w:spacing w:before="136" w:line="220" w:lineRule="exact"/>
        <w:ind w:right="244" w:firstLine="36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Yalnız bu bölmənin məqsədləri üçün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>, ‘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terminiQeydiyyatdan keçmiş </w:t>
      </w:r>
      <w:r w:rsidRPr="00EF027E">
        <w:rPr>
          <w:rFonts w:ascii="Times New Roman" w:hAnsi="Times New Roman" w:cs="Times New Roman"/>
          <w:sz w:val="24"/>
          <w:szCs w:val="24"/>
        </w:rPr>
        <w:t>Qiymətləndirmə Xidməti Bölməsinə aid edilmir, əgər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7F2339" w:rsidRPr="00EF027E" w:rsidRDefault="003812EF" w:rsidP="00BC53DF">
      <w:pPr>
        <w:pStyle w:val="a9"/>
        <w:numPr>
          <w:ilvl w:val="0"/>
          <w:numId w:val="4"/>
        </w:numPr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cəmiyyətə qiymətləndirmə xidməti göstərirsə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339" w:rsidRPr="00EF027E" w:rsidRDefault="003812EF" w:rsidP="00BC53DF">
      <w:pPr>
        <w:pStyle w:val="a9"/>
        <w:numPr>
          <w:ilvl w:val="0"/>
          <w:numId w:val="4"/>
        </w:numPr>
        <w:tabs>
          <w:tab w:val="left" w:pos="4353"/>
        </w:tabs>
        <w:spacing w:line="220" w:lineRule="exact"/>
        <w:ind w:right="2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tərəfindən qiymətləndirmə xidməti göstərilməsi bölmənin, şöbənin və ya xidmət sahəsinin məsuliyyətinə aiddir və həmin bölmə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İdarə Heyətinə görə, qeydiyyat tələblərinə tam cavab verə biləcək səviyyədə idarəetmə muxtariyyətinə malikdir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2339" w:rsidRPr="00EF027E" w:rsidRDefault="00562887" w:rsidP="00BC53DF">
      <w:pPr>
        <w:pStyle w:val="a9"/>
        <w:numPr>
          <w:ilvl w:val="0"/>
          <w:numId w:val="4"/>
        </w:numPr>
        <w:tabs>
          <w:tab w:val="left" w:pos="4353"/>
        </w:tabs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Firmanın bölmə, şöbə və ya xidmət sahəsi bu Qaydalara uyğun olaraq AQC qeydiyyatı üçün münasibdir və ya ondan belə müraciət tələb olunur. </w:t>
      </w:r>
    </w:p>
    <w:p w:rsidR="007F2339" w:rsidRPr="00EF027E" w:rsidRDefault="003812EF" w:rsidP="00BC53DF">
      <w:pPr>
        <w:pStyle w:val="a9"/>
        <w:numPr>
          <w:ilvl w:val="0"/>
          <w:numId w:val="4"/>
        </w:numPr>
        <w:spacing w:line="220" w:lineRule="exact"/>
        <w:ind w:right="2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nın razılığı ilə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Firmanın əvəzinə həminbölmə, şöbə və ya xidmət sahəsininin özünü qeydiyyata ala bilər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339" w:rsidRPr="00EF027E" w:rsidRDefault="00562887" w:rsidP="00BC53DF">
      <w:pPr>
        <w:pStyle w:val="a9"/>
        <w:numPr>
          <w:ilvl w:val="0"/>
          <w:numId w:val="4"/>
        </w:numPr>
        <w:spacing w:before="116" w:line="220" w:lineRule="exact"/>
        <w:ind w:right="2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4-cü Qayda əsasında qeydiyyata alınmış bölmə, şöbə və ya xidmət sahəsi bu Qaydalarda </w:t>
      </w:r>
      <w:r w:rsidRPr="00EF027E">
        <w:rPr>
          <w:rFonts w:ascii="Times New Roman" w:hAnsi="Times New Roman" w:cs="Times New Roman"/>
          <w:sz w:val="24"/>
          <w:szCs w:val="24"/>
        </w:rPr>
        <w:t>Qiymətləndirmə Xidməti Bölməsi adlanır</w:t>
      </w:r>
      <w:r w:rsidR="007F2339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562887" w:rsidP="00BC53DF">
      <w:pPr>
        <w:pStyle w:val="a9"/>
        <w:numPr>
          <w:ilvl w:val="0"/>
          <w:numId w:val="4"/>
        </w:numPr>
        <w:tabs>
          <w:tab w:val="left" w:pos="440"/>
        </w:tabs>
        <w:spacing w:line="22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Əgər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FirmaAQC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tərəfindən 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-cü Qayda Əsasında qeydiyyatdan keçməlidirsə və o, qiymətləndirmə xidmətini yalnız həmin qeydiyyatdan keçmiş bölmələr vasitəsilə göstərirsə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belə tələb yalnız və yalnız bir və ya bir neçə </w:t>
      </w:r>
      <w:r w:rsidRPr="00EF027E">
        <w:rPr>
          <w:rFonts w:ascii="Times New Roman" w:hAnsi="Times New Roman" w:cs="Times New Roman"/>
          <w:sz w:val="24"/>
          <w:szCs w:val="24"/>
        </w:rPr>
        <w:t xml:space="preserve">Qiymətləndirmə Xidməti Bölməsinin qeydiyyatı ilə qarşılanır.   </w:t>
      </w:r>
    </w:p>
    <w:p w:rsidR="0016314C" w:rsidRPr="00EF027E" w:rsidRDefault="0016314C" w:rsidP="00BC53DF">
      <w:pPr>
        <w:pStyle w:val="a9"/>
        <w:ind w:left="1080"/>
        <w:jc w:val="both"/>
        <w:rPr>
          <w:rFonts w:ascii="Times New Roman" w:hAnsi="Times New Roman" w:cs="Times New Roman"/>
          <w:b/>
          <w:bCs/>
          <w:color w:val="1A4DFF"/>
          <w:sz w:val="24"/>
          <w:szCs w:val="24"/>
        </w:rPr>
      </w:pPr>
    </w:p>
    <w:p w:rsidR="0016314C" w:rsidRPr="00BC53DF" w:rsidRDefault="00562887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5" w:name="_Toc12891757"/>
      <w:r w:rsidRPr="00BC53DF">
        <w:rPr>
          <w:rFonts w:ascii="Times New Roman" w:hAnsi="Times New Roman" w:cs="Times New Roman"/>
        </w:rPr>
        <w:t>Qeydiyyat Pros</w:t>
      </w:r>
      <w:r w:rsidR="0016314C" w:rsidRPr="00BC53DF">
        <w:rPr>
          <w:rFonts w:ascii="Times New Roman" w:hAnsi="Times New Roman" w:cs="Times New Roman"/>
        </w:rPr>
        <w:t>edur</w:t>
      </w:r>
      <w:r w:rsidRPr="00BC53DF">
        <w:rPr>
          <w:rFonts w:ascii="Times New Roman" w:hAnsi="Times New Roman" w:cs="Times New Roman"/>
        </w:rPr>
        <w:t>u</w:t>
      </w:r>
      <w:bookmarkEnd w:id="5"/>
    </w:p>
    <w:p w:rsidR="0016314C" w:rsidRPr="00EF027E" w:rsidRDefault="003812EF" w:rsidP="00BC53DF">
      <w:pPr>
        <w:pStyle w:val="a9"/>
        <w:numPr>
          <w:ilvl w:val="1"/>
          <w:numId w:val="5"/>
        </w:numPr>
        <w:spacing w:before="9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-yə</w:t>
      </w:r>
      <w:r w:rsidR="004C7084" w:rsidRPr="00EF027E">
        <w:rPr>
          <w:rFonts w:ascii="Times New Roman" w:hAnsi="Times New Roman" w:cs="Times New Roman"/>
          <w:color w:val="000000"/>
          <w:sz w:val="24"/>
          <w:szCs w:val="24"/>
        </w:rPr>
        <w:t>BQS üzrə xidmətlər göstər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ən firma kimi  qeydiyyata alınmaq üçün təqdim olunan ərizələr aşağıdakıları əhatə etməlidir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14C" w:rsidRPr="00EF027E" w:rsidRDefault="003812EF" w:rsidP="00BC53DF">
      <w:pPr>
        <w:pStyle w:val="a9"/>
        <w:numPr>
          <w:ilvl w:val="0"/>
          <w:numId w:val="6"/>
        </w:numPr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İdarə Heyətinin müəyyən etdiyi məlumatlar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14C" w:rsidRPr="00EF027E" w:rsidRDefault="00562887" w:rsidP="00BC53D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Zəruri hallarda,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tərəfindən Firma haqqında </w:t>
      </w:r>
      <w:r w:rsidRPr="0068729D">
        <w:rPr>
          <w:rFonts w:ascii="Times New Roman" w:hAnsi="Times New Roman" w:cs="Times New Roman"/>
          <w:color w:val="000000"/>
          <w:sz w:val="24"/>
          <w:szCs w:val="24"/>
        </w:rPr>
        <w:t xml:space="preserve">relevant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ərizə məlumatlarının  müvafiq hökumət və ya digər  tənzimləyici orqanlarla paylaşılmasına razılıq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6314C" w:rsidRPr="00EF027E" w:rsidRDefault="003812EF" w:rsidP="00BC53D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-nin qeydiyyatdan imtina qərarı verdiyi halda öz qərarını dərc etməsinə razılıq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562887" w:rsidP="00BC53DF">
      <w:pPr>
        <w:pStyle w:val="a9"/>
        <w:numPr>
          <w:ilvl w:val="1"/>
          <w:numId w:val="5"/>
        </w:numPr>
        <w:spacing w:before="96" w:line="22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AQC İdarə Heyəti BQS </w:t>
      </w:r>
      <w:r w:rsidRPr="00EF027E">
        <w:rPr>
          <w:rFonts w:ascii="Times New Roman" w:hAnsi="Times New Roman" w:cs="Times New Roman"/>
          <w:sz w:val="24"/>
          <w:szCs w:val="24"/>
        </w:rPr>
        <w:t xml:space="preserve">üzrə xidmətlər təqdim edən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kimi qeydiyyatdan keçmək barəsində ərizəyə baxdıqdan sonra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14C" w:rsidRPr="00EF027E" w:rsidRDefault="00562887" w:rsidP="00BC53DF">
      <w:pPr>
        <w:pStyle w:val="a9"/>
        <w:numPr>
          <w:ilvl w:val="0"/>
          <w:numId w:val="25"/>
        </w:numPr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sz w:val="24"/>
          <w:szCs w:val="24"/>
        </w:rPr>
        <w:t>Q</w:t>
      </w:r>
      <w:r w:rsidR="004B1ECE" w:rsidRPr="00EF027E">
        <w:rPr>
          <w:rFonts w:ascii="Times New Roman" w:hAnsi="Times New Roman" w:cs="Times New Roman"/>
          <w:sz w:val="24"/>
          <w:szCs w:val="24"/>
        </w:rPr>
        <w:t>eydiyyat</w:t>
      </w:r>
      <w:r w:rsidRPr="00EF027E">
        <w:rPr>
          <w:rFonts w:ascii="Times New Roman" w:hAnsi="Times New Roman" w:cs="Times New Roman"/>
          <w:sz w:val="24"/>
          <w:szCs w:val="24"/>
        </w:rPr>
        <w:t>a alınma barəsində qərar</w:t>
      </w:r>
      <w:r w:rsidR="0016314C" w:rsidRPr="00EF02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14C" w:rsidRPr="00EF027E" w:rsidRDefault="00562887" w:rsidP="00BC53DF">
      <w:pPr>
        <w:pStyle w:val="a9"/>
        <w:numPr>
          <w:ilvl w:val="0"/>
          <w:numId w:val="25"/>
        </w:numPr>
        <w:tabs>
          <w:tab w:val="left" w:pos="820"/>
        </w:tabs>
        <w:spacing w:line="305" w:lineRule="exact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sz w:val="24"/>
          <w:szCs w:val="24"/>
        </w:rPr>
        <w:t>Qeydiyyata alınma barəsində şərti qərar</w:t>
      </w:r>
      <w:r w:rsidR="0016314C" w:rsidRPr="00EF027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6314C" w:rsidRPr="00EF027E" w:rsidRDefault="00562887" w:rsidP="00BC53DF">
      <w:pPr>
        <w:pStyle w:val="a9"/>
        <w:numPr>
          <w:ilvl w:val="0"/>
          <w:numId w:val="25"/>
        </w:numPr>
        <w:tabs>
          <w:tab w:val="left" w:pos="820"/>
        </w:tabs>
        <w:spacing w:line="305" w:lineRule="exact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sz w:val="24"/>
          <w:szCs w:val="24"/>
        </w:rPr>
        <w:t>Qeydiyyatdan imtina barəsində qərar qəbul edə bilər</w:t>
      </w:r>
      <w:r w:rsidR="0016314C" w:rsidRPr="00EF0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14C" w:rsidRPr="00AB1BB5" w:rsidRDefault="00562887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6" w:name="_Toc12891758"/>
      <w:r w:rsidRPr="00AB1BB5">
        <w:rPr>
          <w:rFonts w:ascii="Times New Roman" w:hAnsi="Times New Roman" w:cs="Times New Roman"/>
        </w:rPr>
        <w:t>Məsul</w:t>
      </w:r>
      <w:r w:rsidR="00ED2CCC">
        <w:rPr>
          <w:rFonts w:ascii="Times New Roman" w:hAnsi="Times New Roman" w:cs="Times New Roman"/>
        </w:rPr>
        <w:t>T</w:t>
      </w:r>
      <w:r w:rsidR="0068729D" w:rsidRPr="00ED2CCC">
        <w:rPr>
          <w:rFonts w:ascii="Times New Roman" w:hAnsi="Times New Roman" w:cs="Times New Roman"/>
        </w:rPr>
        <w:t>ərəfdaş</w:t>
      </w:r>
      <w:bookmarkEnd w:id="6"/>
    </w:p>
    <w:p w:rsidR="0016314C" w:rsidRPr="00EF027E" w:rsidRDefault="0016314C" w:rsidP="00BC53DF">
      <w:pPr>
        <w:spacing w:before="136" w:line="220" w:lineRule="exact"/>
        <w:ind w:left="1080"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Pr="00EF027E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-yə qeydiyyat üçün müraciət etdikdə və qeydiyyatda olduğu dövrdə Məsul</w:t>
      </w:r>
      <w:r w:rsidR="00ED2CCC" w:rsidRPr="00ED2CCC">
        <w:rPr>
          <w:rFonts w:ascii="Times New Roman" w:hAnsi="Times New Roman" w:cs="Times New Roman"/>
          <w:color w:val="010302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10302"/>
          <w:sz w:val="24"/>
          <w:szCs w:val="24"/>
        </w:rPr>
        <w:t xml:space="preserve">ərəfdaş </w:t>
      </w:r>
      <w:r w:rsidR="00562887" w:rsidRPr="00ED2CCC">
        <w:rPr>
          <w:rFonts w:ascii="Times New Roman" w:hAnsi="Times New Roman" w:cs="Times New Roman"/>
          <w:color w:val="010302"/>
          <w:sz w:val="24"/>
          <w:szCs w:val="24"/>
        </w:rPr>
        <w:t>təyin etməlidir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16314C" w:rsidP="00BC53DF">
      <w:pPr>
        <w:spacing w:before="116" w:line="220" w:lineRule="exact"/>
        <w:ind w:left="1080"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562887" w:rsidRPr="00ED2CCC">
        <w:rPr>
          <w:rFonts w:ascii="Times New Roman" w:hAnsi="Times New Roman" w:cs="Times New Roman"/>
          <w:color w:val="010302"/>
          <w:sz w:val="24"/>
          <w:szCs w:val="24"/>
        </w:rPr>
        <w:t>Məsul</w:t>
      </w:r>
      <w:r w:rsidR="00ED2CCC" w:rsidRPr="00ED2CCC">
        <w:rPr>
          <w:rFonts w:ascii="Times New Roman" w:hAnsi="Times New Roman" w:cs="Times New Roman"/>
          <w:color w:val="010302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10302"/>
          <w:sz w:val="24"/>
          <w:szCs w:val="24"/>
        </w:rPr>
        <w:t>ərəfdaş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yalnız o şəxs təyin oluna bilər ki, o, aşağıdakı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A, B 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və</w:t>
      </w:r>
      <w:r w:rsidRPr="00EF027E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562887" w:rsidRPr="00EF02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şərtlərinə cavab versin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16314C" w:rsidP="00BC53DF">
      <w:pPr>
        <w:spacing w:before="116" w:line="220" w:lineRule="exact"/>
        <w:ind w:left="1080"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6.3A 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Şərti tələb edir ki, AQC İdarə Heyəti həmin şəxsin Məsul </w:t>
      </w:r>
      <w:r w:rsidR="00ED2CCC" w:rsidRPr="00ED2CCC">
        <w:rPr>
          <w:rFonts w:ascii="Times New Roman" w:hAnsi="Times New Roman" w:cs="Times New Roman"/>
          <w:color w:val="010302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10302"/>
          <w:sz w:val="24"/>
          <w:szCs w:val="24"/>
        </w:rPr>
        <w:t>ərəfdaş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vəzifəsini tutmasını məqbul saysın. </w:t>
      </w:r>
    </w:p>
    <w:p w:rsidR="0016314C" w:rsidRPr="00EF027E" w:rsidRDefault="0016314C" w:rsidP="00BC53DF">
      <w:pPr>
        <w:spacing w:before="73"/>
        <w:ind w:left="108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6.4B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Şərtiondan ibarətdir ki,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ni qane e</w:t>
      </w:r>
      <w:r w:rsidR="00457E97" w:rsidRPr="00EF027E">
        <w:rPr>
          <w:rFonts w:ascii="Times New Roman" w:hAnsi="Times New Roman" w:cs="Times New Roman"/>
          <w:color w:val="000000"/>
          <w:sz w:val="24"/>
          <w:szCs w:val="24"/>
        </w:rPr>
        <w:t>tsin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ki, həmin şəxs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14C" w:rsidRPr="00EF027E" w:rsidRDefault="00EF027E" w:rsidP="00BC53DF">
      <w:pPr>
        <w:pStyle w:val="a9"/>
        <w:numPr>
          <w:ilvl w:val="0"/>
          <w:numId w:val="7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craedici rəhbər məsuliyyətini tətbiq etməklə, Firma tərəfindən strateji məqsədlərin formalaşmasına və </w:t>
      </w:r>
      <w:r w:rsidR="004B1ECE" w:rsidRPr="00EF027E">
        <w:rPr>
          <w:rFonts w:ascii="Times New Roman" w:hAnsi="Times New Roman" w:cs="Times New Roman"/>
          <w:color w:val="000000"/>
          <w:sz w:val="24"/>
          <w:szCs w:val="24"/>
        </w:rPr>
        <w:t>əhəmiyyətli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qərarların qəbul edilməsinə təsir edə bilər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6314C" w:rsidRPr="00EF027E" w:rsidRDefault="00562887" w:rsidP="00BC53DF">
      <w:pPr>
        <w:pStyle w:val="a9"/>
        <w:numPr>
          <w:ilvl w:val="0"/>
          <w:numId w:val="7"/>
        </w:numPr>
        <w:tabs>
          <w:tab w:val="left" w:pos="820"/>
        </w:tabs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Birbaşa elə səviyyəli rəhbər şəxsə hesabat verir ki, 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tərəfindən Məsul</w:t>
      </w:r>
      <w:r w:rsid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00000"/>
          <w:sz w:val="24"/>
          <w:szCs w:val="24"/>
        </w:rPr>
        <w:t>ərəfdaşa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səlahiyyət verə və bunu nümayiş etdirə bilər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16314C" w:rsidP="00BC53DF">
      <w:pPr>
        <w:tabs>
          <w:tab w:val="left" w:pos="820"/>
        </w:tabs>
        <w:ind w:left="108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6.5C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şərti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14C" w:rsidRPr="00EF027E" w:rsidRDefault="00562887" w:rsidP="00BC53DF">
      <w:pPr>
        <w:pStyle w:val="a9"/>
        <w:numPr>
          <w:ilvl w:val="0"/>
          <w:numId w:val="8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Şəxs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üzvüdür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16314C" w:rsidRPr="00EF027E" w:rsidRDefault="00562887" w:rsidP="00BC53DF">
      <w:pPr>
        <w:pStyle w:val="a9"/>
        <w:numPr>
          <w:ilvl w:val="0"/>
          <w:numId w:val="8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Şəxs AQC üzvü deyildir, lakin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onu məqbul hesab edir ki:</w:t>
      </w:r>
    </w:p>
    <w:p w:rsidR="0016314C" w:rsidRPr="00EF027E" w:rsidRDefault="0016314C" w:rsidP="00BC53DF">
      <w:pPr>
        <w:tabs>
          <w:tab w:val="left" w:pos="1179"/>
        </w:tabs>
        <w:ind w:left="108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AQC üzvünü təyin edə bilmir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və</w:t>
      </w:r>
    </w:p>
    <w:p w:rsidR="0016314C" w:rsidRPr="00EF027E" w:rsidRDefault="00562887" w:rsidP="00BC53DF">
      <w:pPr>
        <w:tabs>
          <w:tab w:val="left" w:pos="1179"/>
        </w:tabs>
        <w:ind w:left="108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(ii) Məsul </w:t>
      </w:r>
      <w:r w:rsid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00000"/>
          <w:sz w:val="24"/>
          <w:szCs w:val="24"/>
        </w:rPr>
        <w:t>ərəfdaş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vəzifəsini yerinə yetirmək üçün </w:t>
      </w:r>
      <w:r w:rsidR="004C7084" w:rsidRPr="00EF027E">
        <w:rPr>
          <w:rFonts w:ascii="Times New Roman" w:hAnsi="Times New Roman" w:cs="Times New Roman"/>
          <w:color w:val="000000"/>
          <w:sz w:val="24"/>
          <w:szCs w:val="24"/>
        </w:rPr>
        <w:t>seçilmiş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şəxs uyğunluğun tənzimlənməsi üzrə biliklərə və kafi təcrübəyə malikdir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16314C" w:rsidP="00BC53DF">
      <w:pPr>
        <w:spacing w:before="96" w:line="220" w:lineRule="exact"/>
        <w:ind w:left="1080" w:right="378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Məsul</w:t>
      </w:r>
      <w:r w:rsid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00000"/>
          <w:sz w:val="24"/>
          <w:szCs w:val="24"/>
        </w:rPr>
        <w:t>ərəf</w:t>
      </w:r>
      <w:r w:rsidR="0068729D" w:rsidRPr="00ED2CCC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daş</w:t>
      </w:r>
      <w:r w:rsidR="00562887" w:rsidRPr="00ED2CCC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bütün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əntiqli addımları atmalıdır ki, göstərilənlərlə </w:t>
      </w:r>
      <w:r w:rsidR="00457E97"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əhdudlaşmadan,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nın tənzimləyici qurumlar tərəfindən və qanunvericiliklə müəyyən olunmuş öz öhdəliklərinə əməl etdiyinə əmin olsun, o cümlədən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16314C" w:rsidRPr="00EF027E" w:rsidRDefault="00562887" w:rsidP="00BC53DF">
      <w:pPr>
        <w:pStyle w:val="a9"/>
        <w:numPr>
          <w:ilvl w:val="0"/>
          <w:numId w:val="9"/>
        </w:numPr>
        <w:tabs>
          <w:tab w:val="left" w:pos="820"/>
        </w:tabs>
        <w:spacing w:before="56" w:line="22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bütün m</w:t>
      </w:r>
      <w:r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əntiqli addımlar atılmalıdır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ki, BQS-lərə və,</w:t>
      </w:r>
    </w:p>
    <w:p w:rsidR="0016314C" w:rsidRPr="00EF027E" w:rsidRDefault="003812EF" w:rsidP="00BC53DF">
      <w:pPr>
        <w:pStyle w:val="a9"/>
        <w:numPr>
          <w:ilvl w:val="0"/>
          <w:numId w:val="9"/>
        </w:numPr>
        <w:spacing w:line="22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-nin</w:t>
      </w:r>
      <w:r w:rsidR="004B1ECE" w:rsidRPr="00EF027E">
        <w:rPr>
          <w:rFonts w:ascii="Times New Roman" w:hAnsi="Times New Roman" w:cs="Times New Roman"/>
          <w:color w:val="000000"/>
          <w:sz w:val="24"/>
          <w:szCs w:val="24"/>
        </w:rPr>
        <w:t>qeydiyyat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üçün müəyyən etdiyi digər tələblərə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onun</w:t>
      </w:r>
      <w:r w:rsid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8729D" w:rsidRPr="00ED2CCC">
        <w:rPr>
          <w:rFonts w:ascii="Times New Roman" w:hAnsi="Times New Roman" w:cs="Times New Roman"/>
          <w:color w:val="000000"/>
          <w:sz w:val="24"/>
          <w:szCs w:val="24"/>
        </w:rPr>
        <w:t xml:space="preserve">ərəfdaşları 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və işçilərinin tam uyğunluğunu təmin etməkvə əgər tələb olunursa, bunun sübutlarını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562887" w:rsidRPr="00EF027E">
        <w:rPr>
          <w:rFonts w:ascii="Times New Roman" w:hAnsi="Times New Roman" w:cs="Times New Roman"/>
          <w:color w:val="000000"/>
          <w:sz w:val="24"/>
          <w:szCs w:val="24"/>
        </w:rPr>
        <w:t>-yə nümayiş etdirmək üçünFirmanın müvafiq siyasətləri, sistemləri və nəzarət mexanizmlərini tətbiq etdiyinə əmin olsun,</w:t>
      </w:r>
    </w:p>
    <w:p w:rsidR="0016314C" w:rsidRPr="00EF027E" w:rsidRDefault="00562887" w:rsidP="00BC53DF">
      <w:pPr>
        <w:pStyle w:val="a9"/>
        <w:numPr>
          <w:ilvl w:val="0"/>
          <w:numId w:val="9"/>
        </w:numPr>
        <w:tabs>
          <w:tab w:val="left" w:pos="820"/>
        </w:tabs>
        <w:spacing w:before="36" w:line="220" w:lineRule="exact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bütün m</w:t>
      </w:r>
      <w:r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əntiqli addımlar atılmalıdır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ki, Firmanın öz hüquqi öhdəliklərinə əməl etmə</w:t>
      </w:r>
      <w:r w:rsidR="00EF027E">
        <w:rPr>
          <w:rFonts w:ascii="Times New Roman" w:hAnsi="Times New Roman" w:cs="Times New Roman"/>
          <w:color w:val="000000"/>
          <w:sz w:val="24"/>
          <w:szCs w:val="24"/>
        </w:rPr>
        <w:t xml:space="preserve">k üçün 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müvafiq sistemləri və nəzarət mexanizmlərini tətbiq etdiyinə əminlik yaransın və əgər tələb olunursa, bunun sübutları AQC-yə nümayiş etdirilsin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14C" w:rsidRPr="00EF027E" w:rsidRDefault="00562887" w:rsidP="00BC53DF">
      <w:pPr>
        <w:pStyle w:val="a9"/>
        <w:numPr>
          <w:ilvl w:val="0"/>
          <w:numId w:val="9"/>
        </w:numPr>
        <w:spacing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əminlik olmalıdır ki, AQC-yə təqdim edilmiş məlumatlar həqiqətdir, tələb edilmiş məqsədə uyğundurvə hər hansı əhəmiyyətli </w:t>
      </w:r>
      <w:r w:rsidR="004B1ECE" w:rsidRPr="00EF027E">
        <w:rPr>
          <w:rFonts w:ascii="Times New Roman" w:hAnsi="Times New Roman" w:cs="Times New Roman"/>
          <w:color w:val="000000"/>
          <w:sz w:val="24"/>
          <w:szCs w:val="24"/>
        </w:rPr>
        <w:t>dəyişiklik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müvafiq qaydada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-yə bildirilmişdir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6314C" w:rsidRPr="00EF027E" w:rsidRDefault="00457E97" w:rsidP="00BC53DF">
      <w:pPr>
        <w:pStyle w:val="a9"/>
        <w:numPr>
          <w:ilvl w:val="0"/>
          <w:numId w:val="9"/>
        </w:numPr>
        <w:spacing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əminlik olmalıdır ki, AQC-nin qeydiyyat üçün müəyyən etdiyi tələblərin və qanunvericiliklə müəyyən olunmuş öhdəliklərin hər hansı pozuntusunun qeydiyyata alınması üçün 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lər vəsi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314C" w:rsidRPr="00EF027E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emlər mövcuddur və əgər tələb olunarsa, belə qeydiyyat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üçün də açıq olacaqdır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562887" w:rsidP="00BC53DF">
      <w:pPr>
        <w:pStyle w:val="a9"/>
        <w:numPr>
          <w:ilvl w:val="1"/>
          <w:numId w:val="10"/>
        </w:numPr>
        <w:spacing w:before="9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Məsul</w:t>
      </w:r>
      <w:r w:rsid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039E9" w:rsidRPr="00ED2CCC">
        <w:rPr>
          <w:rFonts w:ascii="Times New Roman" w:hAnsi="Times New Roman" w:cs="Times New Roman"/>
          <w:color w:val="000000"/>
          <w:sz w:val="24"/>
          <w:szCs w:val="24"/>
        </w:rPr>
        <w:t>ərəfdaş</w:t>
      </w:r>
      <w:r w:rsidR="00457E9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və ya təyinatı barəsində AQC İdarə Heyətinin yazılı surətdə məlumatlandırıldığı və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Məsul</w:t>
      </w:r>
      <w:r w:rsidR="00ED2C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039E9" w:rsidRPr="00ED2CCC">
        <w:rPr>
          <w:rFonts w:ascii="Times New Roman" w:hAnsi="Times New Roman" w:cs="Times New Roman"/>
          <w:color w:val="000000"/>
          <w:sz w:val="24"/>
          <w:szCs w:val="24"/>
        </w:rPr>
        <w:t>ərəfdaş</w:t>
      </w:r>
      <w:r w:rsidR="00457E9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tərəfindən təyin edilmiş müvafiq şəxs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457E9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üçün Firmada əsas əlaqələndirici şəxs olacaqdır. </w:t>
      </w:r>
    </w:p>
    <w:p w:rsidR="0016314C" w:rsidRPr="00EF027E" w:rsidRDefault="0016314C" w:rsidP="00BC53DF">
      <w:pPr>
        <w:pStyle w:val="a9"/>
        <w:spacing w:before="96" w:line="220" w:lineRule="exact"/>
        <w:ind w:left="1440" w:right="234"/>
        <w:jc w:val="both"/>
        <w:rPr>
          <w:rFonts w:ascii="Times New Roman" w:hAnsi="Times New Roman" w:cs="Times New Roman"/>
          <w:sz w:val="24"/>
          <w:szCs w:val="24"/>
        </w:rPr>
      </w:pPr>
    </w:p>
    <w:p w:rsidR="0016314C" w:rsidRPr="00EF027E" w:rsidRDefault="0016314C" w:rsidP="00BC53DF">
      <w:pPr>
        <w:pStyle w:val="a9"/>
        <w:spacing w:before="96" w:line="220" w:lineRule="exact"/>
        <w:ind w:left="1440"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16314C" w:rsidRPr="00BC53DF" w:rsidRDefault="00457E97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7" w:name="_Toc12891759"/>
      <w:r w:rsidRPr="00BC53DF">
        <w:rPr>
          <w:rFonts w:ascii="Times New Roman" w:hAnsi="Times New Roman" w:cs="Times New Roman"/>
        </w:rPr>
        <w:t>Q</w:t>
      </w:r>
      <w:r w:rsidR="004B1ECE" w:rsidRPr="00BC53DF">
        <w:rPr>
          <w:rFonts w:ascii="Times New Roman" w:hAnsi="Times New Roman" w:cs="Times New Roman"/>
        </w:rPr>
        <w:t>eydiyyat</w:t>
      </w:r>
      <w:r w:rsidRPr="00BC53DF">
        <w:rPr>
          <w:rFonts w:ascii="Times New Roman" w:hAnsi="Times New Roman" w:cs="Times New Roman"/>
        </w:rPr>
        <w:t>dan irəli gələn öhdəliklər</w:t>
      </w:r>
      <w:bookmarkEnd w:id="7"/>
    </w:p>
    <w:p w:rsidR="0016314C" w:rsidRPr="00BC53DF" w:rsidRDefault="0016314C" w:rsidP="00BC53DF">
      <w:pPr>
        <w:spacing w:before="35" w:line="333" w:lineRule="exact"/>
        <w:ind w:right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6314C" w:rsidRPr="00EF027E" w:rsidRDefault="0016314C" w:rsidP="00BC53DF">
      <w:pPr>
        <w:spacing w:before="35" w:line="333" w:lineRule="exact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7.1.  </w:t>
      </w:r>
      <w:r w:rsidR="005D625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AQC tərəfindən qeydiyyata alınmış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5D6257" w:rsidRPr="00EF027E">
        <w:rPr>
          <w:rFonts w:ascii="Times New Roman" w:hAnsi="Times New Roman" w:cs="Times New Roman"/>
          <w:color w:val="000000"/>
          <w:sz w:val="24"/>
          <w:szCs w:val="24"/>
        </w:rPr>
        <w:t>aşağıdakılara əməl etməlidir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14C" w:rsidRPr="00EF027E" w:rsidRDefault="005D6257" w:rsidP="00BC53DF">
      <w:pPr>
        <w:pStyle w:val="a9"/>
        <w:numPr>
          <w:ilvl w:val="0"/>
          <w:numId w:val="11"/>
        </w:numPr>
        <w:spacing w:before="35" w:line="333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Şirkətlər üçün Davranış Məcəlləsinin və bu Qaydaların tələblərinə cavab verməlidir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14C" w:rsidRPr="00EF027E" w:rsidRDefault="005D6257" w:rsidP="00BC53DF">
      <w:pPr>
        <w:pStyle w:val="a9"/>
        <w:numPr>
          <w:ilvl w:val="0"/>
          <w:numId w:val="11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AQC-nin Nizamnaməsində və digər sənədlərində müəyyən edilmiş vəzifələrə uyğun olaraq fəaliyyət göstərməlidir;</w:t>
      </w:r>
    </w:p>
    <w:p w:rsidR="0016314C" w:rsidRPr="00EF027E" w:rsidRDefault="003812EF" w:rsidP="00BC53DF">
      <w:pPr>
        <w:pStyle w:val="a9"/>
        <w:numPr>
          <w:ilvl w:val="0"/>
          <w:numId w:val="11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5D6257" w:rsidRPr="00EF027E">
        <w:rPr>
          <w:rFonts w:ascii="Times New Roman" w:hAnsi="Times New Roman" w:cs="Times New Roman"/>
          <w:color w:val="000000"/>
          <w:sz w:val="24"/>
          <w:szCs w:val="24"/>
        </w:rPr>
        <w:t>ni, özünə qarşı hər hansı inzibati və ya tənzimləyici orqan, məhkəmə və ya qanunvericiliklə müəyyən edilmiş qurum tərəfindən irəli sürülmüş faktlar barəsində məlumatlandırmalıdır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5D6257" w:rsidP="00BC53DF">
      <w:pPr>
        <w:pStyle w:val="a9"/>
        <w:numPr>
          <w:ilvl w:val="0"/>
          <w:numId w:val="11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 İdarə Heyətini, özünə qarşı hər hansı iflas iddiası barəsində mə</w:t>
      </w:r>
      <w:r w:rsidR="000039E9">
        <w:rPr>
          <w:rFonts w:ascii="Times New Roman" w:hAnsi="Times New Roman" w:cs="Times New Roman"/>
          <w:color w:val="000000"/>
          <w:sz w:val="24"/>
          <w:szCs w:val="24"/>
        </w:rPr>
        <w:t xml:space="preserve">lumatlandırmalıdır; </w:t>
      </w:r>
    </w:p>
    <w:p w:rsidR="0016314C" w:rsidRPr="00EF027E" w:rsidRDefault="005D6257" w:rsidP="00BC53DF">
      <w:pPr>
        <w:pStyle w:val="a9"/>
        <w:numPr>
          <w:ilvl w:val="0"/>
          <w:numId w:val="11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Firmada əhəmiyyətli dəyişikliklər baş verərsə, bu barədə AQC İdarə Heyətini yeddi gün ərzində məlumatlandırmalı və tam təfərrüatları təqdim etməlidir.</w:t>
      </w:r>
    </w:p>
    <w:p w:rsidR="0016314C" w:rsidRPr="00EF027E" w:rsidRDefault="00730F92" w:rsidP="00BC53DF">
      <w:pPr>
        <w:spacing w:before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5D625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AQC tərəfindən qeydiyyata alınmış </w:t>
      </w:r>
      <w:r w:rsidR="005D6257" w:rsidRPr="00EF027E">
        <w:rPr>
          <w:rFonts w:ascii="Times New Roman" w:hAnsi="Times New Roman" w:cs="Times New Roman"/>
          <w:sz w:val="24"/>
          <w:szCs w:val="24"/>
        </w:rPr>
        <w:t>Qiymətləndirmə Xidməti Bölməsi</w:t>
      </w:r>
      <w:r w:rsidR="005D6257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(7.1. Qaydasında nəzərdə tutulmuş öhdəliklərə əməl etməkdən əlavə), onun fəaliyyət göstərdiyi Firmanın aşağıdakılara məruz qalması barəsində AQC İdarə Heyətinə məlumat verməlidir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14C" w:rsidRPr="00EF027E" w:rsidRDefault="00C2055D" w:rsidP="00BC53DF">
      <w:pPr>
        <w:pStyle w:val="a9"/>
        <w:numPr>
          <w:ilvl w:val="0"/>
          <w:numId w:val="12"/>
        </w:numPr>
        <w:spacing w:before="5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Hər hans</w:t>
      </w:r>
      <w:r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ı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inzibati, peşəkar və ya tənzimləyici orqan, məhkəmə və ya qanunvericiliklə müəyyən edilmiş qurum tərəfindən müəyyən edilmiş qərəzlilik və ya fırıldaqçılıq faktları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C2055D" w:rsidP="00BC53DF">
      <w:pPr>
        <w:pStyle w:val="a9"/>
        <w:numPr>
          <w:ilvl w:val="0"/>
          <w:numId w:val="12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Peşəkar ictimai birliklər tərəfindən müəyyən edilmiş və Firmanın həmin birlikdə üzvlüyünün dayandırmasına və ya oradan xaric olmasına səbəb olmuş ciddi 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xəta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6314C" w:rsidRPr="00EF027E" w:rsidRDefault="00C2055D" w:rsidP="00BC53DF">
      <w:pPr>
        <w:pStyle w:val="a9"/>
        <w:numPr>
          <w:ilvl w:val="0"/>
          <w:numId w:val="12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Firmanın və ya AQC-nin reputasiyasını, böyük ehtimalla, əhəmiyyətli dərəcədə zədələyə biləcək hər hansı digər hal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EF027E" w:rsidRDefault="00730F92" w:rsidP="00BC53DF">
      <w:pPr>
        <w:spacing w:before="9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,7.4. Qaydasında nəzərdə tutulan tədbirləri aşağıdakı hallarda tətbiq edə bilər:</w:t>
      </w:r>
    </w:p>
    <w:p w:rsidR="0016314C" w:rsidRPr="00EF027E" w:rsidRDefault="00763153" w:rsidP="00BC53DF">
      <w:pPr>
        <w:pStyle w:val="a9"/>
        <w:numPr>
          <w:ilvl w:val="0"/>
          <w:numId w:val="13"/>
        </w:numPr>
        <w:spacing w:before="5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AQC İdarə Heyəti hesab etsə ki, qeydiyyata alınmış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daha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-nin qeydiyyatına alınmaq üçün münasib deyil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763153" w:rsidP="00BC53DF">
      <w:pPr>
        <w:pStyle w:val="a9"/>
        <w:numPr>
          <w:ilvl w:val="0"/>
          <w:numId w:val="13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AQC İdarə Heyəti hesab etsə ki,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7-ci Qaydada qeydiyyat üçün m</w:t>
      </w:r>
      <w:r w:rsidRPr="00EF027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üə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yyən edilmiş hər hansı öhdəliyi pozmuşdur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6314C" w:rsidRPr="00EF027E" w:rsidRDefault="00763153" w:rsidP="00BC53DF">
      <w:pPr>
        <w:pStyle w:val="a9"/>
        <w:numPr>
          <w:ilvl w:val="0"/>
          <w:numId w:val="13"/>
        </w:numPr>
        <w:spacing w:before="36" w:line="220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 İdarə Heyəti hesab etsə ki, 7.1. (</w:t>
      </w:r>
      <w:r w:rsidRPr="00EF027E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) -</w:t>
      </w:r>
      <w:r w:rsidRPr="00EF027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EF027E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) və ya 7.</w:t>
      </w:r>
      <w:r w:rsidRPr="00EF027E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027E">
        <w:rPr>
          <w:rFonts w:ascii="Times New Roman" w:hAnsi="Times New Roman" w:cs="Times New Roman"/>
          <w:sz w:val="24"/>
          <w:szCs w:val="24"/>
        </w:rPr>
        <w:t>maddələri üzrə xəbərdarlıq alındıqda.</w:t>
      </w:r>
    </w:p>
    <w:p w:rsidR="0016314C" w:rsidRPr="00EF027E" w:rsidRDefault="00730F92" w:rsidP="00BC53DF">
      <w:pPr>
        <w:spacing w:before="5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nin həmin hallarda nəzərdə tutulan tədbirləri aşağıdakılardır:</w:t>
      </w:r>
    </w:p>
    <w:p w:rsidR="0016314C" w:rsidRPr="00EF027E" w:rsidRDefault="00763153" w:rsidP="00BC53DF">
      <w:pPr>
        <w:pStyle w:val="a9"/>
        <w:numPr>
          <w:ilvl w:val="0"/>
          <w:numId w:val="14"/>
        </w:numPr>
        <w:tabs>
          <w:tab w:val="left" w:pos="4353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Heç bir tədbir görməmək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763153" w:rsidP="00BC53DF">
      <w:pPr>
        <w:pStyle w:val="a9"/>
        <w:numPr>
          <w:ilvl w:val="0"/>
          <w:numId w:val="14"/>
        </w:numPr>
        <w:spacing w:line="305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Firmanın qeydiyyat şərtlərini artırmaq və ya dəyişmək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3812EF" w:rsidP="00BC53DF">
      <w:pPr>
        <w:pStyle w:val="a9"/>
        <w:numPr>
          <w:ilvl w:val="0"/>
          <w:numId w:val="14"/>
        </w:numPr>
        <w:spacing w:line="305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nı qeydiyyatdan çıxarmaq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və ya</w:t>
      </w:r>
    </w:p>
    <w:p w:rsidR="0016314C" w:rsidRPr="00EF027E" w:rsidRDefault="003812EF" w:rsidP="00BC53DF">
      <w:pPr>
        <w:pStyle w:val="a9"/>
        <w:numPr>
          <w:ilvl w:val="0"/>
          <w:numId w:val="14"/>
        </w:numPr>
        <w:spacing w:line="305" w:lineRule="exact"/>
        <w:ind w:right="23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nınq</w:t>
      </w:r>
      <w:r w:rsidR="004B1ECE" w:rsidRPr="00EF027E">
        <w:rPr>
          <w:rFonts w:ascii="Times New Roman" w:hAnsi="Times New Roman" w:cs="Times New Roman"/>
          <w:color w:val="000000"/>
          <w:sz w:val="24"/>
          <w:szCs w:val="24"/>
        </w:rPr>
        <w:t>eydiyyat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ını dondurmaq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14C" w:rsidRPr="00AB1BB5" w:rsidRDefault="00763153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8" w:name="_Toc12891760"/>
      <w:r w:rsidRPr="00AB1BB5">
        <w:rPr>
          <w:rFonts w:ascii="Times New Roman" w:hAnsi="Times New Roman" w:cs="Times New Roman"/>
        </w:rPr>
        <w:t>Q</w:t>
      </w:r>
      <w:r w:rsidR="004B1ECE" w:rsidRPr="00AB1BB5">
        <w:rPr>
          <w:rFonts w:ascii="Times New Roman" w:hAnsi="Times New Roman" w:cs="Times New Roman"/>
        </w:rPr>
        <w:t>eydiyyat</w:t>
      </w:r>
      <w:r w:rsidRPr="00AB1BB5">
        <w:rPr>
          <w:rFonts w:ascii="Times New Roman" w:hAnsi="Times New Roman" w:cs="Times New Roman"/>
        </w:rPr>
        <w:t>a xitam verilməsi</w:t>
      </w:r>
      <w:bookmarkEnd w:id="8"/>
    </w:p>
    <w:p w:rsidR="0016314C" w:rsidRPr="00EF027E" w:rsidRDefault="00730F92" w:rsidP="00BC53DF">
      <w:pPr>
        <w:spacing w:before="136" w:line="220" w:lineRule="exact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 tərəfindən </w:t>
      </w:r>
      <w:r w:rsidR="00763153" w:rsidRPr="00EF027E">
        <w:rPr>
          <w:rFonts w:ascii="Times New Roman" w:hAnsi="Times New Roman" w:cs="Times New Roman"/>
          <w:sz w:val="24"/>
          <w:szCs w:val="24"/>
        </w:rPr>
        <w:t xml:space="preserve">Qeydiyyatına 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7-ci Qaydaya əsasən </w:t>
      </w:r>
      <w:r w:rsidR="00763153" w:rsidRPr="00EF027E">
        <w:rPr>
          <w:rFonts w:ascii="Times New Roman" w:hAnsi="Times New Roman" w:cs="Times New Roman"/>
          <w:sz w:val="24"/>
          <w:szCs w:val="24"/>
        </w:rPr>
        <w:t>xitam verilməzsə,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, qeydiyyatın ləğvi barəsində müəyyən edilmiş formada ərizəsi AQC İdarə Heyəti tərəfindən qəbul edilən ana kimi qeydiyyata alınmış hesab edilir. </w:t>
      </w:r>
    </w:p>
    <w:p w:rsidR="0016314C" w:rsidRPr="00EF027E" w:rsidRDefault="00730F92" w:rsidP="00BC53DF">
      <w:pPr>
        <w:spacing w:before="116" w:line="220" w:lineRule="exact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6314C" w:rsidRPr="00EF027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.Qeydiyyatın ləğvi barəsində ərizə AQC </w:t>
      </w:r>
      <w:r w:rsidR="00D46C31" w:rsidRPr="00EF027E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darə Heyətinə təqdim edildikdə</w:t>
      </w:r>
      <w:r w:rsidR="00D46C31">
        <w:rPr>
          <w:rFonts w:ascii="Times New Roman" w:hAnsi="Times New Roman" w:cs="Times New Roman"/>
          <w:color w:val="000000"/>
          <w:sz w:val="24"/>
          <w:szCs w:val="24"/>
        </w:rPr>
        <w:t>n sonra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, AQC İdarə Heyəti Firmanın qeydiyyatını 8.3. Qaydasına əsasən qərarın dərhal qüvvəyə minməsi şərti ilə ləğv edəcəkdir. </w:t>
      </w:r>
    </w:p>
    <w:p w:rsidR="00730F92" w:rsidRPr="00EF027E" w:rsidRDefault="00730F92" w:rsidP="00BC53DF">
      <w:p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12EF"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nın qeydiyyatının ləğvindən imtina edə bilər, əgər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0F92" w:rsidRPr="00EF027E" w:rsidRDefault="003812EF" w:rsidP="00BC53DF">
      <w:pPr>
        <w:pStyle w:val="a9"/>
        <w:numPr>
          <w:ilvl w:val="0"/>
          <w:numId w:val="15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3-cü Qayda üzrə qeydiyyata alınmalıdırsa</w:t>
      </w:r>
      <w:r w:rsidR="00730F92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3812EF" w:rsidP="00BC53DF">
      <w:pPr>
        <w:pStyle w:val="a9"/>
        <w:numPr>
          <w:ilvl w:val="0"/>
          <w:numId w:val="15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barəsində təhqiqat başlanmışdırsa</w:t>
      </w:r>
      <w:r w:rsidR="00730F92" w:rsidRPr="00EF0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92" w:rsidRPr="00EF027E" w:rsidRDefault="003812EF" w:rsidP="00BC53DF">
      <w:pPr>
        <w:pStyle w:val="a9"/>
        <w:numPr>
          <w:ilvl w:val="0"/>
          <w:numId w:val="15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əmindir ki, 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EF027E">
        <w:rPr>
          <w:rFonts w:ascii="Times New Roman" w:hAnsi="Times New Roman" w:cs="Times New Roman"/>
          <w:color w:val="000000"/>
          <w:sz w:val="24"/>
          <w:szCs w:val="24"/>
        </w:rPr>
        <w:t>Şirkətlər üçün Davranış Məcəlləsini pozmuşdur</w:t>
      </w:r>
      <w:r w:rsidR="00730F92"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63153" w:rsidRPr="00EF027E" w:rsidRDefault="00763153" w:rsidP="00BC53DF">
      <w:pPr>
        <w:pStyle w:val="a9"/>
        <w:numPr>
          <w:ilvl w:val="0"/>
          <w:numId w:val="15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Firma bütün </w:t>
      </w:r>
      <w:r w:rsidR="004B1ECE" w:rsidRPr="00EF027E">
        <w:rPr>
          <w:rFonts w:ascii="Times New Roman" w:hAnsi="Times New Roman" w:cs="Times New Roman"/>
          <w:color w:val="000000"/>
          <w:sz w:val="24"/>
          <w:szCs w:val="24"/>
        </w:rPr>
        <w:t>qeydiyyat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>rüsumlarını və/və</w:t>
      </w:r>
      <w:r w:rsidR="00D46C31">
        <w:rPr>
          <w:rFonts w:ascii="Times New Roman" w:hAnsi="Times New Roman" w:cs="Times New Roman"/>
          <w:color w:val="000000"/>
          <w:sz w:val="24"/>
          <w:szCs w:val="24"/>
        </w:rPr>
        <w:t xml:space="preserve"> ya ha</w:t>
      </w:r>
      <w:r w:rsidRPr="00EF027E">
        <w:rPr>
          <w:rFonts w:ascii="Times New Roman" w:hAnsi="Times New Roman" w:cs="Times New Roman"/>
          <w:color w:val="000000"/>
          <w:sz w:val="24"/>
          <w:szCs w:val="24"/>
        </w:rPr>
        <w:t xml:space="preserve">qlarını, xərcləri və ya təyin olunmuş cərimələri ödəməmişdir. </w:t>
      </w:r>
    </w:p>
    <w:p w:rsidR="00763153" w:rsidRPr="00BC53DF" w:rsidRDefault="00763153" w:rsidP="00BC53DF">
      <w:pPr>
        <w:jc w:val="both"/>
        <w:rPr>
          <w:rFonts w:ascii="Times New Roman" w:hAnsi="Times New Roman" w:cs="Times New Roman"/>
          <w:color w:val="000000"/>
        </w:rPr>
      </w:pPr>
      <w:r w:rsidRPr="00EF027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30F92" w:rsidRPr="00BC53DF" w:rsidRDefault="00763153" w:rsidP="00BC53D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9" w:name="_Toc12891761"/>
      <w:r w:rsidRPr="00BC53DF">
        <w:rPr>
          <w:rFonts w:ascii="Times New Roman" w:hAnsi="Times New Roman" w:cs="Times New Roman"/>
        </w:rPr>
        <w:lastRenderedPageBreak/>
        <w:t>Yoxlama və Şikayətlər</w:t>
      </w:r>
      <w:bookmarkEnd w:id="9"/>
    </w:p>
    <w:p w:rsidR="00730F92" w:rsidRPr="00D46C31" w:rsidRDefault="00730F92" w:rsidP="00BC53DF">
      <w:pPr>
        <w:spacing w:before="136" w:line="220" w:lineRule="exact"/>
        <w:ind w:left="440" w:right="-40" w:hanging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Dire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tor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lar Şurasına</w:t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nin bu qaydalara əsasən qəbul etdiyi qərarların yoxlanılması üçün 60 gün ərzində müraciət edə bilər. Direktorlar Şurası haqqında Əsasnaməyə müvafiq olaraq, bu müraciət əsasında </w:t>
      </w:r>
      <w:r w:rsidR="004B1ECE" w:rsidRPr="00D46C31">
        <w:rPr>
          <w:rFonts w:ascii="Times New Roman" w:hAnsi="Times New Roman" w:cs="Times New Roman"/>
          <w:color w:val="000000"/>
          <w:sz w:val="24"/>
          <w:szCs w:val="24"/>
        </w:rPr>
        <w:t>Qeydiyyat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Panel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pro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və prosedurı yoxlayacaqdır. </w:t>
      </w:r>
    </w:p>
    <w:p w:rsidR="00730F92" w:rsidRPr="00D46C31" w:rsidRDefault="00730F92" w:rsidP="00BC53DF">
      <w:pPr>
        <w:spacing w:before="116" w:line="220" w:lineRule="exact"/>
        <w:ind w:left="440" w:right="-40" w:hanging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D46C31">
        <w:rPr>
          <w:rFonts w:ascii="Times New Roman" w:hAnsi="Times New Roman" w:cs="Times New Roman"/>
          <w:color w:val="000000"/>
          <w:spacing w:val="-8"/>
          <w:sz w:val="24"/>
          <w:szCs w:val="24"/>
        </w:rPr>
        <w:t>9</w:t>
      </w:r>
      <w:r w:rsidRPr="00D46C31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. Qaydası üzrə aparılan hər hansı yoxlama original baxış olmalıdır. Bu zaman</w:t>
      </w:r>
      <w:r w:rsidR="004B1ECE" w:rsidRPr="00D46C31">
        <w:rPr>
          <w:rFonts w:ascii="Times New Roman" w:hAnsi="Times New Roman" w:cs="Times New Roman"/>
          <w:color w:val="000000"/>
          <w:sz w:val="24"/>
          <w:szCs w:val="24"/>
        </w:rPr>
        <w:t>Qeydiyyat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Panel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inin səlahiyyətləri</w:t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nin səlahiyyətlərinə bərabər tutulmalıdır.</w:t>
      </w:r>
    </w:p>
    <w:p w:rsidR="00730F92" w:rsidRPr="00D46C31" w:rsidRDefault="00730F92" w:rsidP="00BC53DF">
      <w:pPr>
        <w:spacing w:before="116" w:line="220" w:lineRule="exact"/>
        <w:ind w:left="440" w:right="-40" w:hanging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4B1ECE" w:rsidRPr="00D46C31">
        <w:rPr>
          <w:rFonts w:ascii="Times New Roman" w:hAnsi="Times New Roman" w:cs="Times New Roman"/>
          <w:color w:val="000000"/>
          <w:sz w:val="24"/>
          <w:szCs w:val="24"/>
        </w:rPr>
        <w:t>Qeydiyyat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Panel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inin qərarından Direktorlar Şurasının Əsasnaməsinə uyğun olaraq Ümumi Yığıncağa şikayət verə bilər.</w:t>
      </w:r>
    </w:p>
    <w:p w:rsidR="00730F92" w:rsidRPr="00BC53DF" w:rsidRDefault="00763153" w:rsidP="00AB1BB5">
      <w:pPr>
        <w:pStyle w:val="1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bookmarkStart w:id="10" w:name="_Toc12891762"/>
      <w:r w:rsidRPr="00BC53DF">
        <w:rPr>
          <w:rFonts w:ascii="Times New Roman" w:hAnsi="Times New Roman" w:cs="Times New Roman"/>
        </w:rPr>
        <w:t>Qeydiyyat və readmissiya üçün müraciət l</w:t>
      </w:r>
      <w:r w:rsidR="00730F92" w:rsidRPr="00BC53DF">
        <w:rPr>
          <w:rFonts w:ascii="Times New Roman" w:hAnsi="Times New Roman" w:cs="Times New Roman"/>
        </w:rPr>
        <w:t>imit</w:t>
      </w:r>
      <w:r w:rsidRPr="00BC53DF">
        <w:rPr>
          <w:rFonts w:ascii="Times New Roman" w:hAnsi="Times New Roman" w:cs="Times New Roman"/>
        </w:rPr>
        <w:t>i</w:t>
      </w:r>
      <w:bookmarkEnd w:id="10"/>
    </w:p>
    <w:p w:rsidR="00730F92" w:rsidRPr="00D46C31" w:rsidRDefault="00730F92" w:rsidP="00BC53DF">
      <w:pPr>
        <w:spacing w:before="136" w:line="220" w:lineRule="exact"/>
        <w:ind w:left="440" w:right="-40" w:hanging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 w:rsidRPr="00D46C31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AQCİdarə Heyəti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qeydiyyat üçün müraciətə baxmaya bilər, əgər Firma və ya onun fəaliyyətini idarə etdiyi göstərdiyi Qiymətləndirmə Xidməti Bölməsi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3153" w:rsidRPr="00D46C31" w:rsidRDefault="00763153" w:rsidP="00BC53DF">
      <w:pPr>
        <w:pStyle w:val="a9"/>
        <w:numPr>
          <w:ilvl w:val="0"/>
          <w:numId w:val="16"/>
        </w:numPr>
        <w:spacing w:line="305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>Son 12 ayda həmin Firmanın qeydiyyatından imtina olunub;</w:t>
      </w:r>
    </w:p>
    <w:p w:rsidR="00730F92" w:rsidRPr="00D46C31" w:rsidRDefault="00763153" w:rsidP="00BC53DF">
      <w:pPr>
        <w:pStyle w:val="a9"/>
        <w:numPr>
          <w:ilvl w:val="0"/>
          <w:numId w:val="16"/>
        </w:numPr>
        <w:spacing w:line="305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>Son 12 ay ərzində qeydiyyatına xitam</w:t>
      </w:r>
      <w:bookmarkStart w:id="11" w:name="_GoBack"/>
      <w:bookmarkEnd w:id="11"/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 verilib. </w:t>
      </w:r>
    </w:p>
    <w:p w:rsidR="00730F92" w:rsidRPr="00D46C31" w:rsidRDefault="00763153" w:rsidP="00D46C31">
      <w:pPr>
        <w:pStyle w:val="a9"/>
        <w:numPr>
          <w:ilvl w:val="1"/>
          <w:numId w:val="18"/>
        </w:numPr>
        <w:spacing w:before="53"/>
        <w:ind w:left="142" w:hanging="142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Qeydiyyatdan cəza tədbirinin təyin edilməsi səbəbindən çıxarılmış </w:t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30F92" w:rsidRPr="00D46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0F92" w:rsidRPr="00D46C31" w:rsidRDefault="00763153" w:rsidP="00BC53DF">
      <w:pPr>
        <w:pStyle w:val="a9"/>
        <w:numPr>
          <w:ilvl w:val="0"/>
          <w:numId w:val="17"/>
        </w:numPr>
        <w:spacing w:before="13"/>
        <w:ind w:firstLine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>Cəza tədbirini tətbiq etmiş Cəza Panelinin müəyyən etdiyi müddətdən tez readmissiya üçün müraciət edə bilmə</w:t>
      </w:r>
      <w:r w:rsidR="001A3741">
        <w:rPr>
          <w:rFonts w:ascii="Times New Roman" w:hAnsi="Times New Roman" w:cs="Times New Roman"/>
          <w:color w:val="000000"/>
          <w:sz w:val="24"/>
          <w:szCs w:val="24"/>
        </w:rPr>
        <w:t xml:space="preserve">z; </w:t>
      </w:r>
    </w:p>
    <w:p w:rsidR="00730F92" w:rsidRPr="00D46C31" w:rsidRDefault="00763153" w:rsidP="00BC53DF">
      <w:pPr>
        <w:pStyle w:val="a9"/>
        <w:numPr>
          <w:ilvl w:val="0"/>
          <w:numId w:val="17"/>
        </w:numPr>
        <w:spacing w:before="13"/>
        <w:ind w:firstLine="4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>Qeydiyyat Panelində Direktorlar Şurası haqqında Əsasnaməyə müvafiq Qaydada baxılmış readmissiya ərizəsi olmalıdır</w:t>
      </w:r>
      <w:r w:rsidR="00730F92" w:rsidRPr="00D4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F92" w:rsidRPr="00BC53DF" w:rsidRDefault="001A3741" w:rsidP="00ED2CCC">
      <w:pPr>
        <w:pStyle w:val="1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bookmarkStart w:id="12" w:name="_Toc12891763"/>
      <w:r w:rsidRPr="00ED2CCC">
        <w:rPr>
          <w:rFonts w:ascii="Times New Roman" w:hAnsi="Times New Roman" w:cs="Times New Roman"/>
        </w:rPr>
        <w:t>Nəşr</w:t>
      </w:r>
      <w:bookmarkEnd w:id="12"/>
    </w:p>
    <w:p w:rsidR="00730F92" w:rsidRPr="00D46C31" w:rsidRDefault="003812EF" w:rsidP="00BC53DF">
      <w:pPr>
        <w:spacing w:before="137" w:line="219" w:lineRule="exact"/>
        <w:ind w:left="440" w:right="-40" w:firstLine="28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>AQC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Firmanın qeydiyyat statusu haqqında məlumatı, habelə qeydiyyata alınmış firmaların reyestrini dərc edə bilər</w:t>
      </w:r>
      <w:r w:rsidR="00730F92"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0F92" w:rsidRPr="00BC53DF" w:rsidRDefault="00763153" w:rsidP="00B76E30">
      <w:pPr>
        <w:pStyle w:val="1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bookmarkStart w:id="13" w:name="_Toc12891764"/>
      <w:r w:rsidRPr="00BC53DF">
        <w:rPr>
          <w:rFonts w:ascii="Times New Roman" w:hAnsi="Times New Roman" w:cs="Times New Roman"/>
        </w:rPr>
        <w:t>Ödənişlər</w:t>
      </w:r>
      <w:bookmarkEnd w:id="13"/>
    </w:p>
    <w:p w:rsidR="00730F92" w:rsidRPr="00D46C31" w:rsidRDefault="00730F92" w:rsidP="00BC53DF">
      <w:pPr>
        <w:spacing w:before="9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46C31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2EF" w:rsidRPr="00D46C31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1ECE" w:rsidRPr="00D46C31">
        <w:rPr>
          <w:rFonts w:ascii="Times New Roman" w:hAnsi="Times New Roman" w:cs="Times New Roman"/>
          <w:color w:val="000000"/>
          <w:sz w:val="24"/>
          <w:szCs w:val="24"/>
        </w:rPr>
        <w:t>qeydiyyat</w:t>
      </w:r>
      <w:r w:rsidR="00763153" w:rsidRPr="00D46C31">
        <w:rPr>
          <w:rFonts w:ascii="Times New Roman" w:hAnsi="Times New Roman" w:cs="Times New Roman"/>
          <w:color w:val="000000"/>
          <w:sz w:val="24"/>
          <w:szCs w:val="24"/>
        </w:rPr>
        <w:t>a alındıqda, aşağıdakıları ödəməlidir</w:t>
      </w:r>
      <w:r w:rsidRPr="00D46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0F92" w:rsidRPr="00D46C31" w:rsidRDefault="00763153" w:rsidP="00BC53DF">
      <w:pPr>
        <w:pStyle w:val="a9"/>
        <w:numPr>
          <w:ilvl w:val="0"/>
          <w:numId w:val="19"/>
        </w:numPr>
        <w:tabs>
          <w:tab w:val="left" w:pos="820"/>
        </w:tabs>
        <w:spacing w:before="1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 xml:space="preserve">İdarə Heyətinin müəyyən etdiyi </w:t>
      </w:r>
      <w:r w:rsidR="001A3741">
        <w:rPr>
          <w:rFonts w:ascii="Times New Roman" w:hAnsi="Times New Roman" w:cs="Times New Roman"/>
          <w:color w:val="000000"/>
          <w:sz w:val="24"/>
          <w:szCs w:val="24"/>
        </w:rPr>
        <w:t xml:space="preserve">müvafiq illik qeydiyyat haqqı; </w:t>
      </w:r>
    </w:p>
    <w:p w:rsidR="008D7EB4" w:rsidRPr="00D46C31" w:rsidRDefault="00763153" w:rsidP="00BC53DF">
      <w:pPr>
        <w:pStyle w:val="a9"/>
        <w:numPr>
          <w:ilvl w:val="0"/>
          <w:numId w:val="19"/>
        </w:numPr>
        <w:tabs>
          <w:tab w:val="left" w:pos="820"/>
          <w:tab w:val="left" w:pos="4158"/>
        </w:tabs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color w:val="000000"/>
          <w:sz w:val="24"/>
          <w:szCs w:val="24"/>
        </w:rPr>
        <w:t>Hər hansı digər ödənişlər, xərclər və ya AQC Nizamnaməsinə uyğun olaraq müəyyən edilmiş cərimələ</w:t>
      </w:r>
      <w:r w:rsidR="00102BDD" w:rsidRPr="00D46C31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102BDD" w:rsidRPr="00D46C31" w:rsidRDefault="00102BDD" w:rsidP="00BC53DF">
      <w:pPr>
        <w:pStyle w:val="a9"/>
        <w:tabs>
          <w:tab w:val="left" w:pos="820"/>
          <w:tab w:val="left" w:pos="4158"/>
        </w:tabs>
        <w:spacing w:before="13"/>
        <w:jc w:val="both"/>
        <w:rPr>
          <w:rFonts w:ascii="Times New Roman" w:hAnsi="Times New Roman" w:cs="Times New Roman"/>
          <w:sz w:val="24"/>
          <w:szCs w:val="24"/>
        </w:rPr>
      </w:pPr>
    </w:p>
    <w:sectPr w:rsidR="00102BDD" w:rsidRPr="00D46C31" w:rsidSect="00821381">
      <w:headerReference w:type="default" r:id="rId11"/>
      <w:footerReference w:type="default" r:id="rId12"/>
      <w:pgSz w:w="12240" w:h="15840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46" w:rsidRDefault="00A83546" w:rsidP="00821381">
      <w:pPr>
        <w:spacing w:after="0" w:line="240" w:lineRule="auto"/>
      </w:pPr>
      <w:r>
        <w:separator/>
      </w:r>
    </w:p>
  </w:endnote>
  <w:endnote w:type="continuationSeparator" w:id="1">
    <w:p w:rsidR="00A83546" w:rsidRDefault="00A83546" w:rsidP="00821381">
      <w:pPr>
        <w:spacing w:after="0" w:line="240" w:lineRule="auto"/>
      </w:pPr>
      <w:r>
        <w:continuationSeparator/>
      </w:r>
    </w:p>
  </w:endnote>
  <w:endnote w:id="2">
    <w:p w:rsidR="00F63EA9" w:rsidRDefault="00F63EA9" w:rsidP="00F63EA9">
      <w:pPr>
        <w:pStyle w:val="af"/>
      </w:pPr>
      <w:r>
        <w:rPr>
          <w:rStyle w:val="ae"/>
        </w:rPr>
        <w:endnoteRef/>
      </w:r>
      <w:r>
        <w:t xml:space="preserve"> Haz</w:t>
      </w:r>
      <w:r>
        <w:rPr>
          <w:lang w:val="az-Latn-AZ"/>
        </w:rPr>
        <w:t>ı</w:t>
      </w:r>
      <w:r>
        <w:t>rki Qaydaların mətni və prinsipləri hazırlanarkən RICS və digər Böyük Britaniya qurumlarının, habelə ABŞ təşkilatlarının bənzər sənədlərindən istifadə edilmişdir.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63645"/>
      <w:docPartObj>
        <w:docPartGallery w:val="Page Numbers (Bottom of Page)"/>
        <w:docPartUnique/>
      </w:docPartObj>
    </w:sdtPr>
    <w:sdtContent>
      <w:p w:rsidR="00821381" w:rsidRDefault="00F95D1E">
        <w:pPr>
          <w:pStyle w:val="a7"/>
          <w:jc w:val="right"/>
        </w:pPr>
        <w:r>
          <w:fldChar w:fldCharType="begin"/>
        </w:r>
        <w:r w:rsidR="00821381">
          <w:instrText>PAGE   \* MERGEFORMAT</w:instrText>
        </w:r>
        <w:r>
          <w:fldChar w:fldCharType="separate"/>
        </w:r>
        <w:r w:rsidR="002864D5" w:rsidRPr="002864D5">
          <w:rPr>
            <w:noProof/>
            <w:lang w:val="ru-RU"/>
          </w:rPr>
          <w:t>9</w:t>
        </w:r>
        <w:r>
          <w:fldChar w:fldCharType="end"/>
        </w:r>
      </w:p>
    </w:sdtContent>
  </w:sdt>
  <w:p w:rsidR="00821381" w:rsidRDefault="00821381">
    <w:pPr>
      <w:pStyle w:val="a7"/>
    </w:pPr>
  </w:p>
  <w:p w:rsidR="00AD7B4A" w:rsidRDefault="00AD7B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46" w:rsidRDefault="00A83546" w:rsidP="00821381">
      <w:pPr>
        <w:spacing w:after="0" w:line="240" w:lineRule="auto"/>
      </w:pPr>
      <w:r>
        <w:separator/>
      </w:r>
    </w:p>
  </w:footnote>
  <w:footnote w:type="continuationSeparator" w:id="1">
    <w:p w:rsidR="00A83546" w:rsidRDefault="00A83546" w:rsidP="0082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1" w:rsidRPr="003F3EC6" w:rsidRDefault="00433053">
    <w:pPr>
      <w:pStyle w:val="a5"/>
      <w:rPr>
        <w:sz w:val="28"/>
        <w:szCs w:val="28"/>
      </w:rPr>
    </w:pPr>
    <w:r>
      <w:rPr>
        <w:sz w:val="28"/>
        <w:szCs w:val="28"/>
      </w:rPr>
      <w:t>Qaydalar</w:t>
    </w:r>
  </w:p>
  <w:p w:rsidR="00AD7B4A" w:rsidRDefault="00AD7B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9BC"/>
    <w:multiLevelType w:val="hybridMultilevel"/>
    <w:tmpl w:val="46F80A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8C1D0C"/>
    <w:multiLevelType w:val="hybridMultilevel"/>
    <w:tmpl w:val="F5DC8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0DF3"/>
    <w:multiLevelType w:val="hybridMultilevel"/>
    <w:tmpl w:val="738413CE"/>
    <w:lvl w:ilvl="0" w:tplc="4992C8E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3011C"/>
    <w:multiLevelType w:val="hybridMultilevel"/>
    <w:tmpl w:val="5640397E"/>
    <w:lvl w:ilvl="0" w:tplc="04090017">
      <w:start w:val="1"/>
      <w:numFmt w:val="lowerLetter"/>
      <w:lvlText w:val="%1)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5661C0F"/>
    <w:multiLevelType w:val="multilevel"/>
    <w:tmpl w:val="3B80296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7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ascii="Arial" w:hAnsi="Arial" w:cs="Arial" w:hint="default"/>
        <w:color w:val="000000"/>
        <w:sz w:val="1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hAnsi="Arial" w:cs="Arial" w:hint="default"/>
        <w:color w:val="000000"/>
        <w:sz w:val="1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Arial" w:hAnsi="Arial" w:cs="Arial" w:hint="default"/>
        <w:color w:val="000000"/>
        <w:sz w:val="1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Arial" w:hAnsi="Arial" w:cs="Arial" w:hint="default"/>
        <w:color w:val="000000"/>
        <w:sz w:val="1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Arial" w:hAnsi="Arial" w:cs="Arial" w:hint="default"/>
        <w:color w:val="000000"/>
        <w:sz w:val="1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Arial" w:hAnsi="Arial" w:cs="Arial" w:hint="default"/>
        <w:color w:val="000000"/>
        <w:sz w:val="1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Arial" w:hAnsi="Arial" w:cs="Arial" w:hint="default"/>
        <w:color w:val="000000"/>
        <w:sz w:val="1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Arial" w:hAnsi="Arial" w:cs="Arial" w:hint="default"/>
        <w:color w:val="000000"/>
        <w:sz w:val="17"/>
      </w:rPr>
    </w:lvl>
  </w:abstractNum>
  <w:abstractNum w:abstractNumId="5">
    <w:nsid w:val="17D57811"/>
    <w:multiLevelType w:val="hybridMultilevel"/>
    <w:tmpl w:val="85B01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F8C6AC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ACC"/>
    <w:multiLevelType w:val="hybridMultilevel"/>
    <w:tmpl w:val="A2924964"/>
    <w:lvl w:ilvl="0" w:tplc="BCD0F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41963"/>
    <w:multiLevelType w:val="hybridMultilevel"/>
    <w:tmpl w:val="365A6C22"/>
    <w:lvl w:ilvl="0" w:tplc="04090017">
      <w:start w:val="1"/>
      <w:numFmt w:val="lowerLetter"/>
      <w:lvlText w:val="%1)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1CCE3E39"/>
    <w:multiLevelType w:val="hybridMultilevel"/>
    <w:tmpl w:val="5A2CA998"/>
    <w:lvl w:ilvl="0" w:tplc="A856570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0E3ABD"/>
    <w:multiLevelType w:val="hybridMultilevel"/>
    <w:tmpl w:val="53DA4598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2BD7682"/>
    <w:multiLevelType w:val="hybridMultilevel"/>
    <w:tmpl w:val="60700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C7E95"/>
    <w:multiLevelType w:val="hybridMultilevel"/>
    <w:tmpl w:val="F934DF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87006"/>
    <w:multiLevelType w:val="multilevel"/>
    <w:tmpl w:val="D2F0D88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7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1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1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1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1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1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1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17"/>
      </w:rPr>
    </w:lvl>
  </w:abstractNum>
  <w:abstractNum w:abstractNumId="13">
    <w:nsid w:val="3A713EB2"/>
    <w:multiLevelType w:val="hybridMultilevel"/>
    <w:tmpl w:val="E87EB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EC6671"/>
    <w:multiLevelType w:val="multilevel"/>
    <w:tmpl w:val="B8E6DAD8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1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  <w:sz w:val="17"/>
      </w:rPr>
    </w:lvl>
  </w:abstractNum>
  <w:abstractNum w:abstractNumId="15">
    <w:nsid w:val="4DD40541"/>
    <w:multiLevelType w:val="hybridMultilevel"/>
    <w:tmpl w:val="73A29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5009C"/>
    <w:multiLevelType w:val="hybridMultilevel"/>
    <w:tmpl w:val="347AB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84190"/>
    <w:multiLevelType w:val="hybridMultilevel"/>
    <w:tmpl w:val="0DA24DDC"/>
    <w:lvl w:ilvl="0" w:tplc="04090017">
      <w:start w:val="1"/>
      <w:numFmt w:val="lowerLetter"/>
      <w:lvlText w:val="%1)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59B8226B"/>
    <w:multiLevelType w:val="multilevel"/>
    <w:tmpl w:val="8C24B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color w:val="000000"/>
        <w:sz w:val="18"/>
      </w:rPr>
    </w:lvl>
  </w:abstractNum>
  <w:abstractNum w:abstractNumId="19">
    <w:nsid w:val="5D9020A1"/>
    <w:multiLevelType w:val="hybridMultilevel"/>
    <w:tmpl w:val="9B661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3321E"/>
    <w:multiLevelType w:val="hybridMultilevel"/>
    <w:tmpl w:val="F0B63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0B14"/>
    <w:multiLevelType w:val="hybridMultilevel"/>
    <w:tmpl w:val="88500E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C56530"/>
    <w:multiLevelType w:val="multilevel"/>
    <w:tmpl w:val="FA205DD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7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1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1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1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1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1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1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17"/>
      </w:rPr>
    </w:lvl>
  </w:abstractNum>
  <w:abstractNum w:abstractNumId="23">
    <w:nsid w:val="70C62223"/>
    <w:multiLevelType w:val="hybridMultilevel"/>
    <w:tmpl w:val="7FAEA3E6"/>
    <w:lvl w:ilvl="0" w:tplc="2AFEAA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194482"/>
    <w:multiLevelType w:val="hybridMultilevel"/>
    <w:tmpl w:val="F22C4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82295"/>
    <w:multiLevelType w:val="hybridMultilevel"/>
    <w:tmpl w:val="6648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21"/>
  </w:num>
  <w:num w:numId="8">
    <w:abstractNumId w:val="0"/>
  </w:num>
  <w:num w:numId="9">
    <w:abstractNumId w:val="11"/>
  </w:num>
  <w:num w:numId="10">
    <w:abstractNumId w:val="4"/>
  </w:num>
  <w:num w:numId="11">
    <w:abstractNumId w:val="20"/>
  </w:num>
  <w:num w:numId="12">
    <w:abstractNumId w:val="19"/>
  </w:num>
  <w:num w:numId="13">
    <w:abstractNumId w:val="25"/>
  </w:num>
  <w:num w:numId="14">
    <w:abstractNumId w:val="15"/>
  </w:num>
  <w:num w:numId="15">
    <w:abstractNumId w:val="3"/>
  </w:num>
  <w:num w:numId="16">
    <w:abstractNumId w:val="17"/>
  </w:num>
  <w:num w:numId="17">
    <w:abstractNumId w:val="9"/>
  </w:num>
  <w:num w:numId="18">
    <w:abstractNumId w:val="14"/>
  </w:num>
  <w:num w:numId="19">
    <w:abstractNumId w:val="16"/>
  </w:num>
  <w:num w:numId="20">
    <w:abstractNumId w:val="1"/>
  </w:num>
  <w:num w:numId="21">
    <w:abstractNumId w:val="24"/>
  </w:num>
  <w:num w:numId="22">
    <w:abstractNumId w:val="10"/>
  </w:num>
  <w:num w:numId="23">
    <w:abstractNumId w:val="7"/>
  </w:num>
  <w:num w:numId="24">
    <w:abstractNumId w:val="22"/>
  </w:num>
  <w:num w:numId="25">
    <w:abstractNumId w:val="13"/>
  </w:num>
  <w:num w:numId="26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7"/>
    <w:rsid w:val="000039E9"/>
    <w:rsid w:val="00026F9B"/>
    <w:rsid w:val="000A326C"/>
    <w:rsid w:val="00102BDD"/>
    <w:rsid w:val="00105541"/>
    <w:rsid w:val="001114DE"/>
    <w:rsid w:val="00154D30"/>
    <w:rsid w:val="0016314C"/>
    <w:rsid w:val="001A3741"/>
    <w:rsid w:val="001B4822"/>
    <w:rsid w:val="001F5A38"/>
    <w:rsid w:val="00200137"/>
    <w:rsid w:val="002864D5"/>
    <w:rsid w:val="002C6634"/>
    <w:rsid w:val="003812EF"/>
    <w:rsid w:val="003C50CF"/>
    <w:rsid w:val="003E49A8"/>
    <w:rsid w:val="003F3EC6"/>
    <w:rsid w:val="00433053"/>
    <w:rsid w:val="00457E97"/>
    <w:rsid w:val="004B1ECE"/>
    <w:rsid w:val="004C0854"/>
    <w:rsid w:val="004C7084"/>
    <w:rsid w:val="004D32CC"/>
    <w:rsid w:val="005152A5"/>
    <w:rsid w:val="00562887"/>
    <w:rsid w:val="0056670F"/>
    <w:rsid w:val="0057302C"/>
    <w:rsid w:val="005C016C"/>
    <w:rsid w:val="005D6257"/>
    <w:rsid w:val="005F33F9"/>
    <w:rsid w:val="00652CB2"/>
    <w:rsid w:val="0068729D"/>
    <w:rsid w:val="006E0EA7"/>
    <w:rsid w:val="007125AC"/>
    <w:rsid w:val="00730F92"/>
    <w:rsid w:val="00763153"/>
    <w:rsid w:val="007F2339"/>
    <w:rsid w:val="00804695"/>
    <w:rsid w:val="00821381"/>
    <w:rsid w:val="008B37C1"/>
    <w:rsid w:val="008D7EB4"/>
    <w:rsid w:val="009036A1"/>
    <w:rsid w:val="00921DC3"/>
    <w:rsid w:val="009475EC"/>
    <w:rsid w:val="00A83546"/>
    <w:rsid w:val="00A943CD"/>
    <w:rsid w:val="00AB1BB5"/>
    <w:rsid w:val="00AD7B4A"/>
    <w:rsid w:val="00B76E30"/>
    <w:rsid w:val="00B85A7D"/>
    <w:rsid w:val="00BB15BE"/>
    <w:rsid w:val="00BC53DF"/>
    <w:rsid w:val="00C2055D"/>
    <w:rsid w:val="00C97BFA"/>
    <w:rsid w:val="00CC559C"/>
    <w:rsid w:val="00D4178F"/>
    <w:rsid w:val="00D46C31"/>
    <w:rsid w:val="00D74BE5"/>
    <w:rsid w:val="00DC2CE9"/>
    <w:rsid w:val="00E951AD"/>
    <w:rsid w:val="00ED2CCC"/>
    <w:rsid w:val="00EF027E"/>
    <w:rsid w:val="00F63EA9"/>
    <w:rsid w:val="00F95D1E"/>
    <w:rsid w:val="00FD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E"/>
  </w:style>
  <w:style w:type="paragraph" w:styleId="1">
    <w:name w:val="heading 1"/>
    <w:basedOn w:val="a"/>
    <w:next w:val="a"/>
    <w:link w:val="10"/>
    <w:uiPriority w:val="9"/>
    <w:qFormat/>
    <w:rsid w:val="00821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138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2138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21381"/>
    <w:pPr>
      <w:spacing w:after="100"/>
    </w:pPr>
  </w:style>
  <w:style w:type="paragraph" w:styleId="a5">
    <w:name w:val="header"/>
    <w:basedOn w:val="a"/>
    <w:link w:val="a6"/>
    <w:uiPriority w:val="99"/>
    <w:unhideWhenUsed/>
    <w:rsid w:val="008213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81"/>
  </w:style>
  <w:style w:type="paragraph" w:styleId="a7">
    <w:name w:val="footer"/>
    <w:basedOn w:val="a"/>
    <w:link w:val="a8"/>
    <w:uiPriority w:val="99"/>
    <w:unhideWhenUsed/>
    <w:rsid w:val="008213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81"/>
  </w:style>
  <w:style w:type="paragraph" w:styleId="a9">
    <w:name w:val="List Paragraph"/>
    <w:basedOn w:val="a"/>
    <w:uiPriority w:val="34"/>
    <w:qFormat/>
    <w:rsid w:val="003E49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BD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F63EA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63EA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63EA9"/>
    <w:rPr>
      <w:vertAlign w:val="superscript"/>
    </w:rPr>
  </w:style>
  <w:style w:type="paragraph" w:styleId="af">
    <w:name w:val="No Spacing"/>
    <w:uiPriority w:val="1"/>
    <w:qFormat/>
    <w:rsid w:val="00F63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qc.a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EC70.EAD694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9A16-C419-4625-8434-B0A0811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</dc:creator>
  <cp:lastModifiedBy>TOSHIBA</cp:lastModifiedBy>
  <cp:revision>8</cp:revision>
  <cp:lastPrinted>2019-07-02T06:03:00Z</cp:lastPrinted>
  <dcterms:created xsi:type="dcterms:W3CDTF">2019-07-01T13:02:00Z</dcterms:created>
  <dcterms:modified xsi:type="dcterms:W3CDTF">2022-07-06T19:57:00Z</dcterms:modified>
</cp:coreProperties>
</file>