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DD9" w:rsidRPr="009C2EF2" w:rsidRDefault="0075026C">
      <w:pPr>
        <w:pStyle w:val="a3"/>
        <w:kinsoku w:val="0"/>
        <w:overflowPunct w:val="0"/>
        <w:spacing w:before="22" w:line="494" w:lineRule="exact"/>
        <w:ind w:left="115"/>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g">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5587365" cy="7235825"/>
                <wp:effectExtent l="0" t="0" r="0" b="0"/>
                <wp:wrapNone/>
                <wp:docPr id="26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7235825"/>
                          <a:chOff x="0" y="0"/>
                          <a:chExt cx="8799" cy="11395"/>
                        </a:xfrm>
                      </wpg:grpSpPr>
                      <wps:wsp>
                        <wps:cNvPr id="262" name="Freeform 2"/>
                        <wps:cNvSpPr>
                          <a:spLocks/>
                        </wps:cNvSpPr>
                        <wps:spPr bwMode="auto">
                          <a:xfrm>
                            <a:off x="0" y="0"/>
                            <a:ext cx="8799" cy="11395"/>
                          </a:xfrm>
                          <a:custGeom>
                            <a:avLst/>
                            <a:gdLst>
                              <a:gd name="T0" fmla="*/ 0 w 8799"/>
                              <a:gd name="T1" fmla="*/ 11395 h 11395"/>
                              <a:gd name="T2" fmla="*/ 8798 w 8799"/>
                              <a:gd name="T3" fmla="*/ 11395 h 11395"/>
                              <a:gd name="T4" fmla="*/ 8798 w 8799"/>
                              <a:gd name="T5" fmla="*/ 0 h 11395"/>
                              <a:gd name="T6" fmla="*/ 0 w 8799"/>
                              <a:gd name="T7" fmla="*/ 0 h 11395"/>
                              <a:gd name="T8" fmla="*/ 0 w 8799"/>
                              <a:gd name="T9" fmla="*/ 11395 h 11395"/>
                            </a:gdLst>
                            <a:ahLst/>
                            <a:cxnLst>
                              <a:cxn ang="0">
                                <a:pos x="T0" y="T1"/>
                              </a:cxn>
                              <a:cxn ang="0">
                                <a:pos x="T2" y="T3"/>
                              </a:cxn>
                              <a:cxn ang="0">
                                <a:pos x="T4" y="T5"/>
                              </a:cxn>
                              <a:cxn ang="0">
                                <a:pos x="T6" y="T7"/>
                              </a:cxn>
                              <a:cxn ang="0">
                                <a:pos x="T8" y="T9"/>
                              </a:cxn>
                            </a:cxnLst>
                            <a:rect l="0" t="0" r="r" b="b"/>
                            <a:pathLst>
                              <a:path w="8799" h="11395">
                                <a:moveTo>
                                  <a:pt x="0" y="11395"/>
                                </a:moveTo>
                                <a:lnTo>
                                  <a:pt x="8798" y="11395"/>
                                </a:lnTo>
                                <a:lnTo>
                                  <a:pt x="8798" y="0"/>
                                </a:lnTo>
                                <a:lnTo>
                                  <a:pt x="0" y="0"/>
                                </a:lnTo>
                                <a:lnTo>
                                  <a:pt x="0" y="11395"/>
                                </a:lnTo>
                              </a:path>
                            </a:pathLst>
                          </a:custGeom>
                          <a:solidFill>
                            <a:srgbClr val="9A1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3"/>
                        <wps:cNvSpPr>
                          <a:spLocks noChangeArrowheads="1"/>
                        </wps:cNvSpPr>
                        <wps:spPr bwMode="auto">
                          <a:xfrm>
                            <a:off x="0" y="0"/>
                            <a:ext cx="8800" cy="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autoSpaceDE/>
                                <w:autoSpaceDN/>
                                <w:adjustRightInd/>
                                <w:spacing w:line="11400" w:lineRule="atLeast"/>
                                <w:rPr>
                                  <w:sz w:val="24"/>
                                  <w:szCs w:val="24"/>
                                </w:rPr>
                              </w:pPr>
                              <w:r>
                                <w:rPr>
                                  <w:noProof/>
                                  <w:sz w:val="24"/>
                                  <w:szCs w:val="24"/>
                                  <w:lang w:val="ru-RU" w:eastAsia="ru-RU"/>
                                </w:rPr>
                                <w:drawing>
                                  <wp:inline distT="0" distB="0" distL="0" distR="0">
                                    <wp:extent cx="5657850" cy="7324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7324725"/>
                                            </a:xfrm>
                                            <a:prstGeom prst="rect">
                                              <a:avLst/>
                                            </a:prstGeom>
                                            <a:noFill/>
                                            <a:ln>
                                              <a:noFill/>
                                            </a:ln>
                                          </pic:spPr>
                                        </pic:pic>
                                      </a:graphicData>
                                    </a:graphic>
                                  </wp:inline>
                                </w:drawing>
                              </w:r>
                            </w:p>
                            <w:p w:rsidR="0072444D" w:rsidRDefault="0072444D">
                              <w:pPr>
                                <w:widowControl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left:0;text-align:left;margin-left:0;margin-top:0;width:439.95pt;height:569.75pt;z-index:-251660800;mso-position-horizontal-relative:page;mso-position-vertical-relative:page" coordsize="8799,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" o:allowincell="f">
                <v:shape id="Freeform 2" o:spid="_x0000_s1027" style="position:absolute;width:8799;height:11395;visibility:visible;mso-wrap-style:square;v-text-anchor:top" coordsize="8799,1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EFMUA&#10;AADcAAAADwAAAGRycy9kb3ducmV2LnhtbESP3UrDQBSE7wXfYTlC7+zGVIqk3Ra1EUWK9O8BDtnT&#10;/DR7Nuxuk/j2riB4OczMN8xyPZpW9OR8bVnBwzQBQVxYXXOp4HR8u38C4QOyxtYyKfgmD+vV7c0S&#10;M20H3lN/CKWIEPYZKqhC6DIpfVGRQT+1HXH0ztYZDFG6UmqHQ4SbVqZJMpcGa44LFXb0WlFxOVyN&#10;gqZ/5M328+Wr3r03g8ub3M7yi1KTu/F5ASLQGP7Df+0PrSCd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UQUxQAAANwAAAAPAAAAAAAAAAAAAAAAAJgCAABkcnMv&#10;ZG93bnJldi54bWxQSwUGAAAAAAQABAD1AAAAigMAAAAA&#10;" path="m,11395r8798,l8798,,,,,11395e" fillcolor="#9a1e7b" stroked="f">
                  <v:path arrowok="t" o:connecttype="custom" o:connectlocs="0,11395;8798,11395;8798,0;0,0;0,11395" o:connectangles="0,0,0,0,0"/>
                </v:shape>
                <v:rect id="Rectangle 3" o:spid="_x0000_s1028" style="position:absolute;width:8800;height:1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72444D" w:rsidRDefault="0072444D">
                        <w:pPr>
                          <w:autoSpaceDE/>
                          <w:autoSpaceDN/>
                          <w:adjustRightInd/>
                          <w:spacing w:line="11400" w:lineRule="atLeast"/>
                          <w:rPr>
                            <w:sz w:val="24"/>
                            <w:szCs w:val="24"/>
                          </w:rPr>
                        </w:pPr>
                        <w:r>
                          <w:rPr>
                            <w:noProof/>
                            <w:sz w:val="24"/>
                            <w:szCs w:val="24"/>
                            <w:lang w:val="ru-RU" w:eastAsia="ru-RU"/>
                          </w:rPr>
                          <w:drawing>
                            <wp:inline distT="0" distB="0" distL="0" distR="0">
                              <wp:extent cx="5657850" cy="7324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7324725"/>
                                      </a:xfrm>
                                      <a:prstGeom prst="rect">
                                        <a:avLst/>
                                      </a:prstGeom>
                                      <a:noFill/>
                                      <a:ln>
                                        <a:noFill/>
                                      </a:ln>
                                    </pic:spPr>
                                  </pic:pic>
                                </a:graphicData>
                              </a:graphic>
                            </wp:inline>
                          </w:drawing>
                        </w:r>
                      </w:p>
                      <w:p w:rsidR="0072444D" w:rsidRDefault="0072444D">
                        <w:pPr>
                          <w:widowControl w:val="0"/>
                          <w:rPr>
                            <w:sz w:val="24"/>
                            <w:szCs w:val="24"/>
                          </w:rPr>
                        </w:pPr>
                      </w:p>
                    </w:txbxContent>
                  </v:textbox>
                </v:rect>
                <w10:wrap anchorx="page" anchory="page"/>
              </v:group>
            </w:pict>
          </mc:Fallback>
        </mc:AlternateContent>
      </w:r>
      <w:r w:rsidR="003C64E0" w:rsidRPr="009C2EF2">
        <w:rPr>
          <w:rFonts w:ascii="Times New Roman" w:hAnsi="Times New Roman"/>
          <w:b/>
          <w:color w:val="FFFFFF"/>
          <w:spacing w:val="-12"/>
          <w:w w:val="105"/>
          <w:sz w:val="24"/>
          <w:szCs w:val="24"/>
          <w:lang w:val="az-Latn-AZ"/>
        </w:rPr>
        <w:t>Beynəlxalq Qiymətləndirmə Standartları</w:t>
      </w:r>
    </w:p>
    <w:p w:rsidR="00D02DD9" w:rsidRPr="009C2EF2" w:rsidRDefault="003C64E0">
      <w:pPr>
        <w:pStyle w:val="a3"/>
        <w:kinsoku w:val="0"/>
        <w:overflowPunct w:val="0"/>
        <w:spacing w:line="1011" w:lineRule="exact"/>
        <w:ind w:left="115"/>
        <w:rPr>
          <w:rFonts w:ascii="Times New Roman" w:hAnsi="Times New Roman"/>
          <w:color w:val="000000"/>
          <w:sz w:val="24"/>
          <w:szCs w:val="24"/>
          <w:lang w:val="az-Latn-AZ"/>
        </w:rPr>
      </w:pPr>
      <w:r w:rsidRPr="009C2EF2">
        <w:rPr>
          <w:rFonts w:ascii="Times New Roman" w:hAnsi="Times New Roman"/>
          <w:b/>
          <w:color w:val="FFFFFF"/>
          <w:spacing w:val="-48"/>
          <w:w w:val="115"/>
          <w:sz w:val="24"/>
          <w:szCs w:val="24"/>
          <w:lang w:val="az-Latn-AZ"/>
        </w:rPr>
        <w:t>2017</w:t>
      </w: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75026C">
      <w:pPr>
        <w:pStyle w:val="a3"/>
        <w:tabs>
          <w:tab w:val="left" w:pos="1301"/>
        </w:tabs>
        <w:kinsoku w:val="0"/>
        <w:overflowPunct w:val="0"/>
        <w:spacing w:line="200" w:lineRule="atLeast"/>
        <w:ind w:left="130"/>
        <w:rPr>
          <w:rFonts w:ascii="Times New Roman" w:hAnsi="Times New Roman"/>
          <w:position w:val="5"/>
          <w:sz w:val="24"/>
          <w:szCs w:val="24"/>
          <w:lang w:val="az-Latn-AZ"/>
        </w:rPr>
      </w:pPr>
      <w:r w:rsidRPr="009C2EF2">
        <w:rPr>
          <w:rFonts w:ascii="Times New Roman" w:hAnsi="Times New Roman"/>
          <w:noProof/>
          <w:sz w:val="24"/>
          <w:szCs w:val="24"/>
          <w:lang w:val="ru-RU" w:eastAsia="ru-RU"/>
        </w:rPr>
        <w:drawing>
          <wp:inline distT="0" distB="0" distL="0" distR="0">
            <wp:extent cx="619125" cy="6286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003C64E0" w:rsidRPr="009C2EF2">
        <w:rPr>
          <w:rFonts w:ascii="Times New Roman" w:hAnsi="Times New Roman"/>
          <w:sz w:val="24"/>
          <w:szCs w:val="24"/>
          <w:lang w:val="az-Latn-AZ"/>
        </w:rPr>
        <w:t xml:space="preserve"> </w:t>
      </w:r>
      <w:r w:rsidR="003C64E0" w:rsidRPr="009C2EF2">
        <w:rPr>
          <w:rFonts w:ascii="Times New Roman" w:hAnsi="Times New Roman"/>
          <w:sz w:val="24"/>
          <w:szCs w:val="24"/>
          <w:lang w:val="az-Latn-AZ"/>
        </w:rPr>
        <w:tab/>
      </w:r>
      <w:r w:rsidRPr="009C2EF2">
        <w:rPr>
          <w:rFonts w:ascii="Times New Roman" w:hAnsi="Times New Roman"/>
          <w:noProof/>
          <w:position w:val="5"/>
          <w:sz w:val="24"/>
          <w:szCs w:val="24"/>
          <w:lang w:val="ru-RU" w:eastAsia="ru-RU"/>
        </w:rPr>
        <mc:AlternateContent>
          <mc:Choice Requires="wpg">
            <w:drawing>
              <wp:inline distT="0" distB="0" distL="0" distR="0">
                <wp:extent cx="2623820" cy="322580"/>
                <wp:effectExtent l="3810" t="7620" r="1270" b="0"/>
                <wp:docPr id="2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322580"/>
                          <a:chOff x="0" y="0"/>
                          <a:chExt cx="4132" cy="508"/>
                        </a:xfrm>
                      </wpg:grpSpPr>
                      <wps:wsp>
                        <wps:cNvPr id="255" name="Rectangle 7"/>
                        <wps:cNvSpPr>
                          <a:spLocks noChangeArrowheads="1"/>
                        </wps:cNvSpPr>
                        <wps:spPr bwMode="auto">
                          <a:xfrm>
                            <a:off x="0" y="0"/>
                            <a:ext cx="36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autoSpaceDE/>
                                <w:autoSpaceDN/>
                                <w:adjustRightInd/>
                                <w:spacing w:line="500" w:lineRule="atLeast"/>
                                <w:rPr>
                                  <w:sz w:val="24"/>
                                  <w:szCs w:val="24"/>
                                </w:rPr>
                              </w:pPr>
                              <w:r>
                                <w:rPr>
                                  <w:noProof/>
                                  <w:sz w:val="24"/>
                                  <w:szCs w:val="24"/>
                                  <w:lang w:val="ru-RU" w:eastAsia="ru-RU"/>
                                </w:rPr>
                                <w:drawing>
                                  <wp:inline distT="0" distB="0" distL="0" distR="0">
                                    <wp:extent cx="2295525"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23850"/>
                                            </a:xfrm>
                                            <a:prstGeom prst="rect">
                                              <a:avLst/>
                                            </a:prstGeom>
                                            <a:noFill/>
                                            <a:ln>
                                              <a:noFill/>
                                            </a:ln>
                                          </pic:spPr>
                                        </pic:pic>
                                      </a:graphicData>
                                    </a:graphic>
                                  </wp:inline>
                                </w:drawing>
                              </w:r>
                            </w:p>
                            <w:p w:rsidR="0072444D" w:rsidRDefault="0072444D">
                              <w:pPr>
                                <w:widowControl w:val="0"/>
                                <w:rPr>
                                  <w:sz w:val="24"/>
                                  <w:szCs w:val="24"/>
                                </w:rPr>
                              </w:pPr>
                            </w:p>
                          </w:txbxContent>
                        </wps:txbx>
                        <wps:bodyPr rot="0" vert="horz" wrap="square" lIns="0" tIns="0" rIns="0" bIns="0" anchor="t" anchorCtr="0" upright="1">
                          <a:noAutofit/>
                        </wps:bodyPr>
                      </wps:wsp>
                      <wps:wsp>
                        <wps:cNvPr id="256" name="Freeform 9"/>
                        <wps:cNvSpPr>
                          <a:spLocks/>
                        </wps:cNvSpPr>
                        <wps:spPr bwMode="auto">
                          <a:xfrm>
                            <a:off x="3655" y="27"/>
                            <a:ext cx="20" cy="169"/>
                          </a:xfrm>
                          <a:custGeom>
                            <a:avLst/>
                            <a:gdLst>
                              <a:gd name="T0" fmla="*/ 0 w 20"/>
                              <a:gd name="T1" fmla="*/ 0 h 169"/>
                              <a:gd name="T2" fmla="*/ 0 w 20"/>
                              <a:gd name="T3" fmla="*/ 168 h 169"/>
                            </a:gdLst>
                            <a:ahLst/>
                            <a:cxnLst>
                              <a:cxn ang="0">
                                <a:pos x="T0" y="T1"/>
                              </a:cxn>
                              <a:cxn ang="0">
                                <a:pos x="T2" y="T3"/>
                              </a:cxn>
                            </a:cxnLst>
                            <a:rect l="0" t="0" r="r" b="b"/>
                            <a:pathLst>
                              <a:path w="20" h="169">
                                <a:moveTo>
                                  <a:pt x="0" y="0"/>
                                </a:moveTo>
                                <a:lnTo>
                                  <a:pt x="0" y="168"/>
                                </a:lnTo>
                              </a:path>
                            </a:pathLst>
                          </a:custGeom>
                          <a:noFill/>
                          <a:ln w="33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7" name="Group 10"/>
                        <wpg:cNvGrpSpPr>
                          <a:grpSpLocks/>
                        </wpg:cNvGrpSpPr>
                        <wpg:grpSpPr bwMode="auto">
                          <a:xfrm>
                            <a:off x="3719" y="24"/>
                            <a:ext cx="192" cy="174"/>
                            <a:chOff x="3719" y="24"/>
                            <a:chExt cx="192" cy="174"/>
                          </a:xfrm>
                        </wpg:grpSpPr>
                        <wps:wsp>
                          <wps:cNvPr id="258" name="Freeform 11"/>
                          <wps:cNvSpPr>
                            <a:spLocks/>
                          </wps:cNvSpPr>
                          <wps:spPr bwMode="auto">
                            <a:xfrm>
                              <a:off x="3719" y="24"/>
                              <a:ext cx="192" cy="174"/>
                            </a:xfrm>
                            <a:custGeom>
                              <a:avLst/>
                              <a:gdLst>
                                <a:gd name="T0" fmla="*/ 0 w 192"/>
                                <a:gd name="T1" fmla="*/ 90 h 174"/>
                                <a:gd name="T2" fmla="*/ 3 w 192"/>
                                <a:gd name="T3" fmla="*/ 110 h 174"/>
                                <a:gd name="T4" fmla="*/ 10 w 192"/>
                                <a:gd name="T5" fmla="*/ 129 h 174"/>
                                <a:gd name="T6" fmla="*/ 19 w 192"/>
                                <a:gd name="T7" fmla="*/ 141 h 174"/>
                                <a:gd name="T8" fmla="*/ 33 w 192"/>
                                <a:gd name="T9" fmla="*/ 154 h 174"/>
                                <a:gd name="T10" fmla="*/ 56 w 192"/>
                                <a:gd name="T11" fmla="*/ 167 h 174"/>
                                <a:gd name="T12" fmla="*/ 75 w 192"/>
                                <a:gd name="T13" fmla="*/ 171 h 174"/>
                                <a:gd name="T14" fmla="*/ 98 w 192"/>
                                <a:gd name="T15" fmla="*/ 173 h 174"/>
                                <a:gd name="T16" fmla="*/ 117 w 192"/>
                                <a:gd name="T17" fmla="*/ 171 h 174"/>
                                <a:gd name="T18" fmla="*/ 136 w 192"/>
                                <a:gd name="T19" fmla="*/ 166 h 174"/>
                                <a:gd name="T20" fmla="*/ 156 w 192"/>
                                <a:gd name="T21" fmla="*/ 156 h 174"/>
                                <a:gd name="T22" fmla="*/ 170 w 192"/>
                                <a:gd name="T23" fmla="*/ 143 h 174"/>
                                <a:gd name="T24" fmla="*/ 182 w 192"/>
                                <a:gd name="T25" fmla="*/ 125 h 174"/>
                                <a:gd name="T26" fmla="*/ 189 w 192"/>
                                <a:gd name="T27" fmla="*/ 106 h 174"/>
                                <a:gd name="T28" fmla="*/ 191 w 192"/>
                                <a:gd name="T29" fmla="*/ 86 h 174"/>
                                <a:gd name="T30" fmla="*/ 191 w 192"/>
                                <a:gd name="T31" fmla="*/ 74 h 174"/>
                                <a:gd name="T32" fmla="*/ 189 w 192"/>
                                <a:gd name="T33" fmla="*/ 63 h 174"/>
                                <a:gd name="T34" fmla="*/ 181 w 192"/>
                                <a:gd name="T35" fmla="*/ 42 h 174"/>
                                <a:gd name="T36" fmla="*/ 175 w 192"/>
                                <a:gd name="T37" fmla="*/ 33 h 174"/>
                                <a:gd name="T38" fmla="*/ 166 w 192"/>
                                <a:gd name="T39" fmla="*/ 24 h 174"/>
                                <a:gd name="T40" fmla="*/ 152 w 192"/>
                                <a:gd name="T41" fmla="*/ 14 h 174"/>
                                <a:gd name="T42" fmla="*/ 139 w 192"/>
                                <a:gd name="T43" fmla="*/ 8 h 174"/>
                                <a:gd name="T44" fmla="*/ 139 w 192"/>
                                <a:gd name="T45" fmla="*/ 95 h 174"/>
                                <a:gd name="T46" fmla="*/ 137 w 192"/>
                                <a:gd name="T47" fmla="*/ 102 h 174"/>
                                <a:gd name="T48" fmla="*/ 131 w 192"/>
                                <a:gd name="T49" fmla="*/ 115 h 174"/>
                                <a:gd name="T50" fmla="*/ 126 w 192"/>
                                <a:gd name="T51" fmla="*/ 120 h 174"/>
                                <a:gd name="T52" fmla="*/ 113 w 192"/>
                                <a:gd name="T53" fmla="*/ 128 h 174"/>
                                <a:gd name="T54" fmla="*/ 105 w 192"/>
                                <a:gd name="T55" fmla="*/ 129 h 174"/>
                                <a:gd name="T56" fmla="*/ 82 w 192"/>
                                <a:gd name="T57" fmla="*/ 129 h 174"/>
                                <a:gd name="T58" fmla="*/ 71 w 192"/>
                                <a:gd name="T59" fmla="*/ 125 h 174"/>
                                <a:gd name="T60" fmla="*/ 55 w 192"/>
                                <a:gd name="T61" fmla="*/ 109 h 174"/>
                                <a:gd name="T62" fmla="*/ 51 w 192"/>
                                <a:gd name="T63" fmla="*/ 99 h 174"/>
                                <a:gd name="T64" fmla="*/ 51 w 192"/>
                                <a:gd name="T65" fmla="*/ 8 h 174"/>
                                <a:gd name="T66" fmla="*/ 33 w 192"/>
                                <a:gd name="T67" fmla="*/ 18 h 174"/>
                                <a:gd name="T68" fmla="*/ 19 w 192"/>
                                <a:gd name="T69" fmla="*/ 31 h 174"/>
                                <a:gd name="T70" fmla="*/ 7 w 192"/>
                                <a:gd name="T71" fmla="*/ 50 h 174"/>
                                <a:gd name="T72" fmla="*/ 1 w 192"/>
                                <a:gd name="T73" fmla="*/ 68 h 174"/>
                                <a:gd name="T74" fmla="*/ 0 w 192"/>
                                <a:gd name="T75" fmla="*/ 9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74">
                                  <a:moveTo>
                                    <a:pt x="0" y="90"/>
                                  </a:moveTo>
                                  <a:lnTo>
                                    <a:pt x="3" y="110"/>
                                  </a:lnTo>
                                  <a:lnTo>
                                    <a:pt x="10" y="129"/>
                                  </a:lnTo>
                                  <a:lnTo>
                                    <a:pt x="19" y="141"/>
                                  </a:lnTo>
                                  <a:lnTo>
                                    <a:pt x="33" y="154"/>
                                  </a:lnTo>
                                  <a:lnTo>
                                    <a:pt x="56" y="167"/>
                                  </a:lnTo>
                                  <a:lnTo>
                                    <a:pt x="75" y="171"/>
                                  </a:lnTo>
                                  <a:lnTo>
                                    <a:pt x="98" y="173"/>
                                  </a:lnTo>
                                  <a:lnTo>
                                    <a:pt x="117" y="171"/>
                                  </a:lnTo>
                                  <a:lnTo>
                                    <a:pt x="136" y="166"/>
                                  </a:lnTo>
                                  <a:lnTo>
                                    <a:pt x="156" y="156"/>
                                  </a:lnTo>
                                  <a:lnTo>
                                    <a:pt x="170" y="143"/>
                                  </a:lnTo>
                                  <a:lnTo>
                                    <a:pt x="182" y="125"/>
                                  </a:lnTo>
                                  <a:lnTo>
                                    <a:pt x="189" y="106"/>
                                  </a:lnTo>
                                  <a:lnTo>
                                    <a:pt x="191" y="86"/>
                                  </a:lnTo>
                                  <a:lnTo>
                                    <a:pt x="191" y="74"/>
                                  </a:lnTo>
                                  <a:lnTo>
                                    <a:pt x="189" y="63"/>
                                  </a:lnTo>
                                  <a:lnTo>
                                    <a:pt x="181" y="42"/>
                                  </a:lnTo>
                                  <a:lnTo>
                                    <a:pt x="175" y="33"/>
                                  </a:lnTo>
                                  <a:lnTo>
                                    <a:pt x="166" y="24"/>
                                  </a:lnTo>
                                  <a:lnTo>
                                    <a:pt x="152" y="14"/>
                                  </a:lnTo>
                                  <a:lnTo>
                                    <a:pt x="139" y="8"/>
                                  </a:lnTo>
                                  <a:lnTo>
                                    <a:pt x="139" y="95"/>
                                  </a:lnTo>
                                  <a:lnTo>
                                    <a:pt x="137" y="102"/>
                                  </a:lnTo>
                                  <a:lnTo>
                                    <a:pt x="131" y="115"/>
                                  </a:lnTo>
                                  <a:lnTo>
                                    <a:pt x="126" y="120"/>
                                  </a:lnTo>
                                  <a:lnTo>
                                    <a:pt x="113" y="128"/>
                                  </a:lnTo>
                                  <a:lnTo>
                                    <a:pt x="105" y="129"/>
                                  </a:lnTo>
                                  <a:lnTo>
                                    <a:pt x="82" y="129"/>
                                  </a:lnTo>
                                  <a:lnTo>
                                    <a:pt x="71" y="125"/>
                                  </a:lnTo>
                                  <a:lnTo>
                                    <a:pt x="55" y="109"/>
                                  </a:lnTo>
                                  <a:lnTo>
                                    <a:pt x="51" y="99"/>
                                  </a:lnTo>
                                  <a:lnTo>
                                    <a:pt x="51" y="8"/>
                                  </a:lnTo>
                                  <a:lnTo>
                                    <a:pt x="33" y="18"/>
                                  </a:lnTo>
                                  <a:lnTo>
                                    <a:pt x="19" y="31"/>
                                  </a:lnTo>
                                  <a:lnTo>
                                    <a:pt x="7" y="50"/>
                                  </a:lnTo>
                                  <a:lnTo>
                                    <a:pt x="1" y="68"/>
                                  </a:lnTo>
                                  <a:lnTo>
                                    <a:pt x="0" y="9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
                          <wps:cNvSpPr>
                            <a:spLocks/>
                          </wps:cNvSpPr>
                          <wps:spPr bwMode="auto">
                            <a:xfrm>
                              <a:off x="3719" y="24"/>
                              <a:ext cx="192" cy="174"/>
                            </a:xfrm>
                            <a:custGeom>
                              <a:avLst/>
                              <a:gdLst>
                                <a:gd name="T0" fmla="*/ 51 w 192"/>
                                <a:gd name="T1" fmla="*/ 8 h 174"/>
                                <a:gd name="T2" fmla="*/ 51 w 192"/>
                                <a:gd name="T3" fmla="*/ 73 h 174"/>
                                <a:gd name="T4" fmla="*/ 55 w 192"/>
                                <a:gd name="T5" fmla="*/ 63 h 174"/>
                                <a:gd name="T6" fmla="*/ 71 w 192"/>
                                <a:gd name="T7" fmla="*/ 47 h 174"/>
                                <a:gd name="T8" fmla="*/ 82 w 192"/>
                                <a:gd name="T9" fmla="*/ 43 h 174"/>
                                <a:gd name="T10" fmla="*/ 102 w 192"/>
                                <a:gd name="T11" fmla="*/ 43 h 174"/>
                                <a:gd name="T12" fmla="*/ 109 w 192"/>
                                <a:gd name="T13" fmla="*/ 44 h 174"/>
                                <a:gd name="T14" fmla="*/ 120 w 192"/>
                                <a:gd name="T15" fmla="*/ 48 h 174"/>
                                <a:gd name="T16" fmla="*/ 124 w 192"/>
                                <a:gd name="T17" fmla="*/ 51 h 174"/>
                                <a:gd name="T18" fmla="*/ 132 w 192"/>
                                <a:gd name="T19" fmla="*/ 59 h 174"/>
                                <a:gd name="T20" fmla="*/ 135 w 192"/>
                                <a:gd name="T21" fmla="*/ 63 h 174"/>
                                <a:gd name="T22" fmla="*/ 138 w 192"/>
                                <a:gd name="T23" fmla="*/ 74 h 174"/>
                                <a:gd name="T24" fmla="*/ 139 w 192"/>
                                <a:gd name="T25" fmla="*/ 80 h 174"/>
                                <a:gd name="T26" fmla="*/ 139 w 192"/>
                                <a:gd name="T27" fmla="*/ 8 h 174"/>
                                <a:gd name="T28" fmla="*/ 131 w 192"/>
                                <a:gd name="T29" fmla="*/ 4 h 174"/>
                                <a:gd name="T30" fmla="*/ 113 w 192"/>
                                <a:gd name="T31" fmla="*/ 1 h 174"/>
                                <a:gd name="T32" fmla="*/ 90 w 192"/>
                                <a:gd name="T33" fmla="*/ 0 h 174"/>
                                <a:gd name="T34" fmla="*/ 72 w 192"/>
                                <a:gd name="T35" fmla="*/ 2 h 174"/>
                                <a:gd name="T36" fmla="*/ 53 w 192"/>
                                <a:gd name="T37" fmla="*/ 7 h 174"/>
                                <a:gd name="T38" fmla="*/ 51 w 192"/>
                                <a:gd name="T39" fmla="*/ 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74">
                                  <a:moveTo>
                                    <a:pt x="51" y="8"/>
                                  </a:moveTo>
                                  <a:lnTo>
                                    <a:pt x="51" y="73"/>
                                  </a:lnTo>
                                  <a:lnTo>
                                    <a:pt x="55" y="63"/>
                                  </a:lnTo>
                                  <a:lnTo>
                                    <a:pt x="71" y="47"/>
                                  </a:lnTo>
                                  <a:lnTo>
                                    <a:pt x="82" y="43"/>
                                  </a:lnTo>
                                  <a:lnTo>
                                    <a:pt x="102" y="43"/>
                                  </a:lnTo>
                                  <a:lnTo>
                                    <a:pt x="109" y="44"/>
                                  </a:lnTo>
                                  <a:lnTo>
                                    <a:pt x="120" y="48"/>
                                  </a:lnTo>
                                  <a:lnTo>
                                    <a:pt x="124" y="51"/>
                                  </a:lnTo>
                                  <a:lnTo>
                                    <a:pt x="132" y="59"/>
                                  </a:lnTo>
                                  <a:lnTo>
                                    <a:pt x="135" y="63"/>
                                  </a:lnTo>
                                  <a:lnTo>
                                    <a:pt x="138" y="74"/>
                                  </a:lnTo>
                                  <a:lnTo>
                                    <a:pt x="139" y="80"/>
                                  </a:lnTo>
                                  <a:lnTo>
                                    <a:pt x="139" y="8"/>
                                  </a:lnTo>
                                  <a:lnTo>
                                    <a:pt x="131" y="4"/>
                                  </a:lnTo>
                                  <a:lnTo>
                                    <a:pt x="113" y="1"/>
                                  </a:lnTo>
                                  <a:lnTo>
                                    <a:pt x="90" y="0"/>
                                  </a:lnTo>
                                  <a:lnTo>
                                    <a:pt x="72" y="2"/>
                                  </a:lnTo>
                                  <a:lnTo>
                                    <a:pt x="53" y="7"/>
                                  </a:lnTo>
                                  <a:lnTo>
                                    <a:pt x="51" y="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0" name="Freeform 13"/>
                        <wps:cNvSpPr>
                          <a:spLocks/>
                        </wps:cNvSpPr>
                        <wps:spPr bwMode="auto">
                          <a:xfrm>
                            <a:off x="3948" y="27"/>
                            <a:ext cx="184" cy="169"/>
                          </a:xfrm>
                          <a:custGeom>
                            <a:avLst/>
                            <a:gdLst>
                              <a:gd name="T0" fmla="*/ 0 w 184"/>
                              <a:gd name="T1" fmla="*/ 0 h 169"/>
                              <a:gd name="T2" fmla="*/ 0 w 184"/>
                              <a:gd name="T3" fmla="*/ 168 h 169"/>
                              <a:gd name="T4" fmla="*/ 50 w 184"/>
                              <a:gd name="T5" fmla="*/ 168 h 169"/>
                              <a:gd name="T6" fmla="*/ 50 w 184"/>
                              <a:gd name="T7" fmla="*/ 74 h 169"/>
                              <a:gd name="T8" fmla="*/ 138 w 184"/>
                              <a:gd name="T9" fmla="*/ 168 h 169"/>
                              <a:gd name="T10" fmla="*/ 183 w 184"/>
                              <a:gd name="T11" fmla="*/ 168 h 169"/>
                              <a:gd name="T12" fmla="*/ 183 w 184"/>
                              <a:gd name="T13" fmla="*/ 0 h 169"/>
                              <a:gd name="T14" fmla="*/ 132 w 184"/>
                              <a:gd name="T15" fmla="*/ 0 h 169"/>
                              <a:gd name="T16" fmla="*/ 132 w 184"/>
                              <a:gd name="T17" fmla="*/ 93 h 169"/>
                              <a:gd name="T18" fmla="*/ 45 w 184"/>
                              <a:gd name="T19" fmla="*/ 0 h 169"/>
                              <a:gd name="T20" fmla="*/ 0 w 184"/>
                              <a:gd name="T2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 h="169">
                                <a:moveTo>
                                  <a:pt x="0" y="0"/>
                                </a:moveTo>
                                <a:lnTo>
                                  <a:pt x="0" y="168"/>
                                </a:lnTo>
                                <a:lnTo>
                                  <a:pt x="50" y="168"/>
                                </a:lnTo>
                                <a:lnTo>
                                  <a:pt x="50" y="74"/>
                                </a:lnTo>
                                <a:lnTo>
                                  <a:pt x="138" y="168"/>
                                </a:lnTo>
                                <a:lnTo>
                                  <a:pt x="183" y="168"/>
                                </a:lnTo>
                                <a:lnTo>
                                  <a:pt x="183" y="0"/>
                                </a:lnTo>
                                <a:lnTo>
                                  <a:pt x="132" y="0"/>
                                </a:lnTo>
                                <a:lnTo>
                                  <a:pt x="132" y="93"/>
                                </a:lnTo>
                                <a:lnTo>
                                  <a:pt x="45" y="0"/>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9" style="width:206.6pt;height:25.4pt;mso-position-horizontal-relative:char;mso-position-vertical-relative:line" coordsize="41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">
                <v:rect id="Rectangle 7" o:spid="_x0000_s1030" style="position:absolute;width:36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72444D" w:rsidRDefault="0072444D">
                        <w:pPr>
                          <w:autoSpaceDE/>
                          <w:autoSpaceDN/>
                          <w:adjustRightInd/>
                          <w:spacing w:line="500" w:lineRule="atLeast"/>
                          <w:rPr>
                            <w:sz w:val="24"/>
                            <w:szCs w:val="24"/>
                          </w:rPr>
                        </w:pPr>
                        <w:r>
                          <w:rPr>
                            <w:noProof/>
                            <w:sz w:val="24"/>
                            <w:szCs w:val="24"/>
                            <w:lang w:val="ru-RU" w:eastAsia="ru-RU"/>
                          </w:rPr>
                          <w:drawing>
                            <wp:inline distT="0" distB="0" distL="0" distR="0">
                              <wp:extent cx="2295525"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23850"/>
                                      </a:xfrm>
                                      <a:prstGeom prst="rect">
                                        <a:avLst/>
                                      </a:prstGeom>
                                      <a:noFill/>
                                      <a:ln>
                                        <a:noFill/>
                                      </a:ln>
                                    </pic:spPr>
                                  </pic:pic>
                                </a:graphicData>
                              </a:graphic>
                            </wp:inline>
                          </w:drawing>
                        </w:r>
                      </w:p>
                      <w:p w:rsidR="0072444D" w:rsidRDefault="0072444D">
                        <w:pPr>
                          <w:widowControl w:val="0"/>
                          <w:rPr>
                            <w:sz w:val="24"/>
                            <w:szCs w:val="24"/>
                          </w:rPr>
                        </w:pPr>
                      </w:p>
                    </w:txbxContent>
                  </v:textbox>
                </v:rect>
                <v:shape id="Freeform 9" o:spid="_x0000_s1031" style="position:absolute;left:3655;top:27;width:20;height:169;visibility:visible;mso-wrap-style:square;v-text-anchor:top" coordsize="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j7MAA&#10;AADcAAAADwAAAGRycy9kb3ducmV2LnhtbESPQavCMBCE7w/8D2EFb89UUdFqFBEEwYtWL96WZm2L&#10;yaY0Ueu/N4LgcZiZb5jFqrVGPKjxlWMFg34Cgjh3uuJCwfm0/Z+C8AFZo3FMCl7kYbXs/C0w1e7J&#10;R3pkoRARwj5FBWUIdSqlz0uy6PuuJo7e1TUWQ5RNIXWDzwi3Rg6TZCItVhwXSqxpU1J+y+5WQXHI&#10;7tqYMW9HmyBb8pf9bH9Rqtdt13MQgdrwC3/bO61gOJ7A50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Zj7MAAAADcAAAADwAAAAAAAAAAAAAAAACYAgAAZHJzL2Rvd25y&#10;ZXYueG1sUEsFBgAAAAAEAAQA9QAAAIUDAAAAAA==&#10;" path="m,l,168e" filled="f" strokecolor="#6d6e71" strokeweight="2.65pt">
                  <v:path arrowok="t" o:connecttype="custom" o:connectlocs="0,0;0,168" o:connectangles="0,0"/>
                </v:shape>
                <v:group id="Group 10" o:spid="_x0000_s1032" style="position:absolute;left:3719;top:24;width:192;height:174" coordorigin="3719,24" coordsize="19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1" o:spid="_x0000_s1033" style="position:absolute;left:3719;top:24;width:192;height:174;visibility:visible;mso-wrap-style:square;v-text-anchor:top" coordsize="1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NZsMA&#10;AADcAAAADwAAAGRycy9kb3ducmV2LnhtbESPwU7DMAyG70i8Q2QkbizdgGnqlk0TAmnixroLN9N4&#10;TbXGqRrTlbfHBySO1u//8+fNboqdGWnIbWIH81kBhrhOvuXGwal6e1iByYLssUtMDn4ow257e7PB&#10;0qcrf9B4lMYohHOJDoJIX1qb60AR8yz1xJqd0xBRdBwa6we8Kjx2dlEUSxuxZb0QsKeXQPXl+B1V&#10;4z1U49feCsppdX5M1dPn6/zg3P3dtF+DEZrkf/mvffAOFs9qq88o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NZsMAAADcAAAADwAAAAAAAAAAAAAAAACYAgAAZHJzL2Rv&#10;d25yZXYueG1sUEsFBgAAAAAEAAQA9QAAAIgDAAAAAA==&#10;" path="m,90r3,20l10,129r9,12l33,154r23,13l75,171r23,2l117,171r19,-5l156,156r14,-13l182,125r7,-19l191,86r,-12l189,63,181,42r-6,-9l166,24,152,14,139,8r,87l137,102r-6,13l126,120r-13,8l105,129r-23,l71,125,55,109,51,99,51,8,33,18,19,31,7,50,1,68,,90xe" fillcolor="#6d6e71" stroked="f">
                    <v:path arrowok="t" o:connecttype="custom" o:connectlocs="0,90;3,110;10,129;19,141;33,154;56,167;75,171;98,173;117,171;136,166;156,156;170,143;182,125;189,106;191,86;191,74;189,63;181,42;175,33;166,24;152,14;139,8;139,95;137,102;131,115;126,120;113,128;105,129;82,129;71,125;55,109;51,99;51,8;33,18;19,31;7,50;1,68;0,90" o:connectangles="0,0,0,0,0,0,0,0,0,0,0,0,0,0,0,0,0,0,0,0,0,0,0,0,0,0,0,0,0,0,0,0,0,0,0,0,0,0"/>
                  </v:shape>
                  <v:shape id="Freeform 12" o:spid="_x0000_s1034" style="position:absolute;left:3719;top:24;width:192;height:174;visibility:visible;mso-wrap-style:square;v-text-anchor:top" coordsize="1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cQA&#10;AADcAAAADwAAAGRycy9kb3ducmV2LnhtbESPT2vCQBDF74V+h2UK3urGPxWbuooUC9JbjZfeptkx&#10;G5qdDdkxpt/eLQgeH2/e781bbQbfqJ66WAc2MBlnoIjLYGuuDByLj+clqCjIFpvAZOCPImzWjw8r&#10;zG248Bf1B6lUgnDM0YATaXOtY+nIYxyHljh5p9B5lCS7StsOLwnuGz3NsoX2WHNqcNjSu6Py93D2&#10;6Y1PV/Q/Wy0ox+VpFor5926yN2b0NGzfQAkNcj++pffWwPTlFf7HJAL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aP3EAAAA3AAAAA8AAAAAAAAAAAAAAAAAmAIAAGRycy9k&#10;b3ducmV2LnhtbFBLBQYAAAAABAAEAPUAAACJAwAAAAA=&#10;" path="m51,8r,65l55,63,71,47,82,43r20,l109,44r11,4l124,51r8,8l135,63r3,11l139,80r,-72l131,4,113,1,90,,72,2,53,7,51,8xe" fillcolor="#6d6e71" stroked="f">
                    <v:path arrowok="t" o:connecttype="custom" o:connectlocs="51,8;51,73;55,63;71,47;82,43;102,43;109,44;120,48;124,51;132,59;135,63;138,74;139,80;139,8;131,4;113,1;90,0;72,2;53,7;51,8" o:connectangles="0,0,0,0,0,0,0,0,0,0,0,0,0,0,0,0,0,0,0,0"/>
                  </v:shape>
                </v:group>
                <v:shape id="Freeform 13" o:spid="_x0000_s1035" style="position:absolute;left:3948;top:27;width:184;height:169;visibility:visible;mso-wrap-style:square;v-text-anchor:top" coordsize="1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XOsEA&#10;AADcAAAADwAAAGRycy9kb3ducmV2LnhtbERPS2vCQBC+C/0Pywi96cYU1KauIgWhLRR8HXocstNs&#10;NDsTsqtJ/333UOjx43uvNoNv1J26UAsbmE0zUMSl2JorA+fTbrIEFSKyxUaYDPxQgM36YbTCwkrP&#10;B7ofY6VSCIcCDbgY20LrUDryGKbSEifuWzqPMcGu0rbDPoX7RudZNtcea04NDlt6dVRejzdvYLvI&#10;L8+YSf/5bp/2H3KQ85cTYx7Hw/YFVKQh/ov/3G/WQD5P89OZd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lzrBAAAA3AAAAA8AAAAAAAAAAAAAAAAAmAIAAGRycy9kb3du&#10;cmV2LnhtbFBLBQYAAAAABAAEAPUAAACGAwAAAAA=&#10;" path="m,l,168r50,l50,74r88,94l183,168,183,,132,r,93l45,,,xe" fillcolor="#6d6e71" stroked="f">
                  <v:path arrowok="t" o:connecttype="custom" o:connectlocs="0,0;0,168;50,168;50,74;138,168;183,168;183,0;132,0;132,93;45,0;0,0" o:connectangles="0,0,0,0,0,0,0,0,0,0,0"/>
                </v:shape>
                <w10:anchorlock/>
              </v:group>
            </w:pict>
          </mc:Fallback>
        </mc:AlternateContent>
      </w:r>
    </w:p>
    <w:p w:rsidR="00D02DD9" w:rsidRPr="009C2EF2" w:rsidRDefault="00D02DD9">
      <w:pPr>
        <w:pStyle w:val="a3"/>
        <w:tabs>
          <w:tab w:val="left" w:pos="1301"/>
        </w:tabs>
        <w:kinsoku w:val="0"/>
        <w:overflowPunct w:val="0"/>
        <w:spacing w:line="200" w:lineRule="atLeast"/>
        <w:ind w:left="130"/>
        <w:rPr>
          <w:rFonts w:ascii="Times New Roman" w:hAnsi="Times New Roman"/>
          <w:position w:val="5"/>
          <w:sz w:val="24"/>
          <w:szCs w:val="24"/>
          <w:lang w:val="az-Latn-AZ"/>
        </w:rPr>
        <w:sectPr w:rsidR="00D02DD9" w:rsidRPr="009C2EF2">
          <w:headerReference w:type="default" r:id="rId10"/>
          <w:footerReference w:type="default" r:id="rId11"/>
          <w:type w:val="continuous"/>
          <w:pgSz w:w="8800" w:h="13270"/>
          <w:pgMar w:top="1000" w:right="720" w:bottom="280" w:left="400" w:header="720" w:footer="720" w:gutter="0"/>
          <w:cols w:space="720"/>
        </w:sect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3C64E0">
      <w:pPr>
        <w:pStyle w:val="a3"/>
        <w:kinsoku w:val="0"/>
        <w:overflowPunct w:val="0"/>
        <w:spacing w:before="154" w:line="250" w:lineRule="auto"/>
        <w:ind w:left="517" w:right="347"/>
        <w:jc w:val="center"/>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Beynəlxalq Qiymətləndirmə Standartları</w:t>
      </w:r>
    </w:p>
    <w:p w:rsidR="00D02DD9" w:rsidRPr="009C2EF2" w:rsidRDefault="003C64E0">
      <w:pPr>
        <w:pStyle w:val="a3"/>
        <w:kinsoku w:val="0"/>
        <w:overflowPunct w:val="0"/>
        <w:spacing w:before="438"/>
        <w:ind w:left="140"/>
        <w:jc w:val="center"/>
        <w:rPr>
          <w:rFonts w:ascii="Times New Roman" w:hAnsi="Times New Roman"/>
          <w:color w:val="000000"/>
          <w:sz w:val="24"/>
          <w:szCs w:val="24"/>
          <w:lang w:val="az-Latn-AZ"/>
        </w:rPr>
      </w:pPr>
      <w:r w:rsidRPr="009C2EF2">
        <w:rPr>
          <w:rFonts w:ascii="Times New Roman" w:hAnsi="Times New Roman"/>
          <w:b/>
          <w:color w:val="231F20"/>
          <w:spacing w:val="-19"/>
          <w:sz w:val="24"/>
          <w:szCs w:val="24"/>
          <w:lang w:val="az-Latn-AZ"/>
        </w:rPr>
        <w:t>2017</w:t>
      </w: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spacing w:before="1"/>
        <w:ind w:left="0"/>
        <w:rPr>
          <w:rFonts w:ascii="Times New Roman" w:hAnsi="Times New Roman"/>
          <w:b/>
          <w:sz w:val="24"/>
          <w:szCs w:val="24"/>
          <w:lang w:val="az-Latn-AZ"/>
        </w:rPr>
      </w:pPr>
    </w:p>
    <w:p w:rsidR="00D02DD9" w:rsidRPr="009C2EF2" w:rsidRDefault="0075026C">
      <w:pPr>
        <w:pStyle w:val="a3"/>
        <w:kinsoku w:val="0"/>
        <w:overflowPunct w:val="0"/>
        <w:spacing w:line="200" w:lineRule="atLeast"/>
        <w:ind w:left="2744"/>
        <w:rPr>
          <w:rFonts w:ascii="Times New Roman" w:hAnsi="Times New Roman"/>
          <w:sz w:val="24"/>
          <w:szCs w:val="24"/>
          <w:lang w:val="az-Latn-AZ"/>
        </w:rPr>
      </w:pPr>
      <w:r w:rsidRPr="009C2EF2">
        <w:rPr>
          <w:rFonts w:ascii="Times New Roman" w:hAnsi="Times New Roman"/>
          <w:noProof/>
          <w:sz w:val="24"/>
          <w:szCs w:val="24"/>
          <w:lang w:val="ru-RU" w:eastAsia="ru-RU"/>
        </w:rPr>
        <w:lastRenderedPageBreak/>
        <w:drawing>
          <wp:inline distT="0" distB="0" distL="0" distR="0">
            <wp:extent cx="695325" cy="695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D02DD9" w:rsidRPr="009C2EF2" w:rsidRDefault="00D02DD9">
      <w:pPr>
        <w:pStyle w:val="a3"/>
        <w:kinsoku w:val="0"/>
        <w:overflowPunct w:val="0"/>
        <w:spacing w:before="5"/>
        <w:ind w:left="0"/>
        <w:rPr>
          <w:rFonts w:ascii="Times New Roman" w:hAnsi="Times New Roman"/>
          <w:b/>
          <w:sz w:val="24"/>
          <w:szCs w:val="24"/>
          <w:lang w:val="az-Latn-AZ"/>
        </w:rPr>
      </w:pPr>
    </w:p>
    <w:p w:rsidR="00D02DD9" w:rsidRPr="009C2EF2" w:rsidRDefault="003C64E0">
      <w:pPr>
        <w:pStyle w:val="a3"/>
        <w:kinsoku w:val="0"/>
        <w:overflowPunct w:val="0"/>
        <w:spacing w:before="77"/>
        <w:ind w:left="1612"/>
        <w:rPr>
          <w:rFonts w:ascii="Times New Roman" w:hAnsi="Times New Roman"/>
          <w:color w:val="000000"/>
          <w:sz w:val="24"/>
          <w:szCs w:val="24"/>
          <w:lang w:val="az-Latn-AZ"/>
        </w:rPr>
      </w:pPr>
      <w:r w:rsidRPr="009C2EF2">
        <w:rPr>
          <w:rFonts w:ascii="Times New Roman" w:hAnsi="Times New Roman"/>
          <w:color w:val="231F20"/>
          <w:sz w:val="24"/>
          <w:szCs w:val="24"/>
          <w:lang w:val="az-Latn-AZ"/>
        </w:rPr>
        <w:t>Beynəlxalq Qiymətləndirmə Standartları Şurası</w:t>
      </w:r>
    </w:p>
    <w:p w:rsidR="00D02DD9" w:rsidRPr="009C2EF2" w:rsidRDefault="00D02DD9">
      <w:pPr>
        <w:pStyle w:val="a3"/>
        <w:kinsoku w:val="0"/>
        <w:overflowPunct w:val="0"/>
        <w:spacing w:before="77"/>
        <w:ind w:left="1612"/>
        <w:rPr>
          <w:rFonts w:ascii="Times New Roman" w:hAnsi="Times New Roman"/>
          <w:color w:val="000000"/>
          <w:sz w:val="24"/>
          <w:szCs w:val="24"/>
          <w:lang w:val="az-Latn-AZ"/>
        </w:rPr>
        <w:sectPr w:rsidR="00D02DD9" w:rsidRPr="009C2EF2">
          <w:pgSz w:w="8850" w:h="13270"/>
          <w:pgMar w:top="1240" w:right="1220" w:bottom="280" w:left="1220" w:header="720" w:footer="720" w:gutter="0"/>
          <w:cols w:space="720" w:equalWidth="0">
            <w:col w:w="6410"/>
          </w:cols>
        </w:sectPr>
      </w:pPr>
    </w:p>
    <w:p w:rsidR="00D02DD9" w:rsidRPr="009C2EF2" w:rsidRDefault="003C64E0" w:rsidP="00154962">
      <w:pPr>
        <w:pStyle w:val="a3"/>
        <w:kinsoku w:val="0"/>
        <w:overflowPunct w:val="0"/>
        <w:spacing w:before="79" w:line="472" w:lineRule="auto"/>
        <w:ind w:left="123" w:right="6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M</w:t>
      </w:r>
      <w:r w:rsidR="003909E0">
        <w:rPr>
          <w:rFonts w:ascii="Times New Roman" w:hAnsi="Times New Roman"/>
          <w:color w:val="231F20"/>
          <w:spacing w:val="1"/>
          <w:sz w:val="24"/>
          <w:szCs w:val="24"/>
          <w:lang w:val="az-Latn-AZ"/>
        </w:rPr>
        <w:t xml:space="preserve">üəllif hüququ © 2017 Beynəlxalq </w:t>
      </w:r>
      <w:r w:rsidRPr="009C2EF2">
        <w:rPr>
          <w:rFonts w:ascii="Times New Roman" w:hAnsi="Times New Roman"/>
          <w:color w:val="231F20"/>
          <w:spacing w:val="1"/>
          <w:sz w:val="24"/>
          <w:szCs w:val="24"/>
          <w:lang w:val="az-Latn-AZ"/>
        </w:rPr>
        <w:t>Qiymətləndirmə Standartları Şurası. Bütün hüquqlar qorunur.</w:t>
      </w:r>
    </w:p>
    <w:p w:rsidR="00D02DD9" w:rsidRPr="009C2EF2" w:rsidRDefault="003C64E0" w:rsidP="00154962">
      <w:pPr>
        <w:pStyle w:val="a3"/>
        <w:kinsoku w:val="0"/>
        <w:overflowPunct w:val="0"/>
        <w:spacing w:before="5" w:line="250" w:lineRule="auto"/>
        <w:ind w:left="123" w:right="1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Beynəlxalq Qiymətləndirmə Standartları Şurasının yazılı icazəsi olmadan bu nəşr tərcümə edilə, çap edilə, çoxaldıla və yaxud da hər hansı bir formada tam və ya qismən istifadə oluna, eləcə də, fotosurət və qeydəalma da daxil olmaqla elektron/mexaniki, cari/gələcək vasitələrdə və ya yaddaş cihazlarında və informasiya-axtarış sistemində saxlanıla bilməz.</w:t>
      </w:r>
    </w:p>
    <w:p w:rsidR="00D02DD9" w:rsidRPr="009C2EF2" w:rsidRDefault="00D02DD9" w:rsidP="00154962">
      <w:pPr>
        <w:pStyle w:val="a3"/>
        <w:kinsoku w:val="0"/>
        <w:overflowPunct w:val="0"/>
        <w:spacing w:before="9"/>
        <w:ind w:left="0"/>
        <w:jc w:val="both"/>
        <w:rPr>
          <w:rFonts w:ascii="Times New Roman" w:hAnsi="Times New Roman"/>
          <w:sz w:val="24"/>
          <w:szCs w:val="24"/>
          <w:lang w:val="az-Latn-AZ"/>
        </w:rPr>
      </w:pPr>
    </w:p>
    <w:p w:rsidR="00D02DD9" w:rsidRPr="009C2EF2" w:rsidRDefault="003C64E0" w:rsidP="00154962">
      <w:pPr>
        <w:pStyle w:val="a3"/>
        <w:kinsoku w:val="0"/>
        <w:overflowPunct w:val="0"/>
        <w:ind w:left="12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Nəşr və müəllif hüquqları məsələləri ilə bağlı müraciət edə bilərsiniz:</w:t>
      </w:r>
    </w:p>
    <w:p w:rsidR="00D02DD9" w:rsidRPr="009C2EF2" w:rsidRDefault="003C64E0" w:rsidP="00154962">
      <w:pPr>
        <w:pStyle w:val="a3"/>
        <w:kinsoku w:val="0"/>
        <w:overflowPunct w:val="0"/>
        <w:spacing w:before="8" w:line="250" w:lineRule="auto"/>
        <w:ind w:left="123" w:right="71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Beynəlxalq Qiymətləndirmə Standartları Şurası, 1 King Küçəsi, LONDON EC2V 8AU Birləşmiş krallıq E-poçt: contact@ivsc.org </w:t>
      </w:r>
      <w:hyperlink r:id="rId13" w:history="1">
        <w:r w:rsidRPr="009C2EF2">
          <w:rPr>
            <w:rFonts w:ascii="Times New Roman" w:hAnsi="Times New Roman"/>
            <w:color w:val="231F20"/>
            <w:spacing w:val="1"/>
            <w:sz w:val="24"/>
            <w:szCs w:val="24"/>
            <w:lang w:val="az-Latn-AZ"/>
          </w:rPr>
          <w:t>www.ivsc.org</w:t>
        </w:r>
      </w:hyperlink>
    </w:p>
    <w:p w:rsidR="00D02DD9" w:rsidRPr="009C2EF2" w:rsidRDefault="00D02DD9" w:rsidP="00154962">
      <w:pPr>
        <w:pStyle w:val="a3"/>
        <w:kinsoku w:val="0"/>
        <w:overflowPunct w:val="0"/>
        <w:spacing w:before="9"/>
        <w:ind w:left="0"/>
        <w:jc w:val="both"/>
        <w:rPr>
          <w:rFonts w:ascii="Times New Roman" w:hAnsi="Times New Roman"/>
          <w:sz w:val="24"/>
          <w:szCs w:val="24"/>
          <w:lang w:val="az-Latn-AZ"/>
        </w:rPr>
      </w:pPr>
    </w:p>
    <w:p w:rsidR="00D02DD9" w:rsidRPr="009C2EF2" w:rsidRDefault="003C64E0" w:rsidP="00154962">
      <w:pPr>
        <w:pStyle w:val="a3"/>
        <w:kinsoku w:val="0"/>
        <w:overflowPunct w:val="0"/>
        <w:ind w:left="12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Beynəlxalq Standart Kitab Nömrəsi (ISBN): 978-0-9931513-0-9</w:t>
      </w:r>
    </w:p>
    <w:p w:rsidR="00D02DD9" w:rsidRPr="009C2EF2" w:rsidRDefault="00D02DD9" w:rsidP="00154962">
      <w:pPr>
        <w:pStyle w:val="a3"/>
        <w:kinsoku w:val="0"/>
        <w:overflowPunct w:val="0"/>
        <w:spacing w:before="6"/>
        <w:ind w:left="0"/>
        <w:jc w:val="both"/>
        <w:rPr>
          <w:rFonts w:ascii="Times New Roman" w:hAnsi="Times New Roman"/>
          <w:sz w:val="24"/>
          <w:szCs w:val="24"/>
          <w:lang w:val="az-Latn-AZ"/>
        </w:rPr>
      </w:pPr>
    </w:p>
    <w:p w:rsidR="00D02DD9" w:rsidRPr="009C2EF2" w:rsidRDefault="003C64E0" w:rsidP="00154962">
      <w:pPr>
        <w:pStyle w:val="a3"/>
        <w:kinsoku w:val="0"/>
        <w:overflowPunct w:val="0"/>
        <w:spacing w:line="250" w:lineRule="auto"/>
        <w:ind w:left="123" w:right="1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Beynəlxalq Qiymətləndirmə Standartları Şurası, müəlliflər və naşirlər bu nəşrdə verilmiş məlumatlar əsasında fəaliyyət göstərən və ya ehtiyat göstərən hər hansı bir şəxsin səhlənkarlıq səbəbindən baş verib-verməməsindən asılı olmayaraq verdiyi itkiyə görə məsuliyyət daşımır. </w:t>
      </w:r>
    </w:p>
    <w:p w:rsidR="00D02DD9" w:rsidRPr="009C2EF2" w:rsidRDefault="00D02DD9" w:rsidP="00154962">
      <w:pPr>
        <w:pStyle w:val="a3"/>
        <w:kinsoku w:val="0"/>
        <w:overflowPunct w:val="0"/>
        <w:spacing w:before="9"/>
        <w:ind w:left="0"/>
        <w:jc w:val="both"/>
        <w:rPr>
          <w:rFonts w:ascii="Times New Roman" w:hAnsi="Times New Roman"/>
          <w:sz w:val="24"/>
          <w:szCs w:val="24"/>
          <w:lang w:val="az-Latn-AZ"/>
        </w:rPr>
      </w:pPr>
    </w:p>
    <w:p w:rsidR="00D02DD9" w:rsidRPr="009C2EF2" w:rsidRDefault="003C64E0" w:rsidP="00154962">
      <w:pPr>
        <w:pStyle w:val="a3"/>
        <w:kinsoku w:val="0"/>
        <w:overflowPunct w:val="0"/>
        <w:ind w:left="12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Page Bros (Norviç) tərəfindən yığılmış və çap edilmişdir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75026C">
      <w:pPr>
        <w:pStyle w:val="a3"/>
        <w:kinsoku w:val="0"/>
        <w:overflowPunct w:val="0"/>
        <w:spacing w:line="200" w:lineRule="atLeast"/>
        <w:ind w:left="113"/>
        <w:rPr>
          <w:rFonts w:ascii="Times New Roman" w:hAnsi="Times New Roman"/>
          <w:sz w:val="24"/>
          <w:szCs w:val="24"/>
          <w:lang w:val="az-Latn-AZ"/>
        </w:rPr>
      </w:pPr>
      <w:r w:rsidRPr="009C2EF2">
        <w:rPr>
          <w:rFonts w:ascii="Times New Roman" w:hAnsi="Times New Roman"/>
          <w:noProof/>
          <w:sz w:val="24"/>
          <w:szCs w:val="24"/>
          <w:lang w:val="ru-RU" w:eastAsia="ru-RU"/>
        </w:rPr>
        <w:drawing>
          <wp:inline distT="0" distB="0" distL="0" distR="0">
            <wp:extent cx="685800" cy="85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p w:rsidR="00D02DD9" w:rsidRPr="009C2EF2" w:rsidRDefault="00D02DD9">
      <w:pPr>
        <w:pStyle w:val="a3"/>
        <w:kinsoku w:val="0"/>
        <w:overflowPunct w:val="0"/>
        <w:spacing w:line="200" w:lineRule="atLeast"/>
        <w:ind w:left="113"/>
        <w:rPr>
          <w:rFonts w:ascii="Times New Roman" w:hAnsi="Times New Roman"/>
          <w:sz w:val="24"/>
          <w:szCs w:val="24"/>
          <w:lang w:val="az-Latn-AZ"/>
        </w:rPr>
        <w:sectPr w:rsidR="00D02DD9" w:rsidRPr="009C2EF2">
          <w:pgSz w:w="8850" w:h="13270"/>
          <w:pgMar w:top="1240" w:right="1140" w:bottom="280" w:left="840" w:header="720" w:footer="720" w:gutter="0"/>
          <w:cols w:space="720" w:equalWidth="0">
            <w:col w:w="6870"/>
          </w:cols>
        </w:sectPr>
      </w:pPr>
    </w:p>
    <w:p w:rsidR="00154962" w:rsidRDefault="00154962">
      <w:pPr>
        <w:pStyle w:val="a3"/>
        <w:kinsoku w:val="0"/>
        <w:overflowPunct w:val="0"/>
        <w:ind w:left="0"/>
        <w:rPr>
          <w:rFonts w:ascii="Times New Roman" w:hAnsi="Times New Roman"/>
          <w:sz w:val="24"/>
          <w:szCs w:val="24"/>
          <w:lang w:val="az-Latn-AZ"/>
        </w:rPr>
      </w:pPr>
    </w:p>
    <w:p w:rsidR="00154962" w:rsidRPr="00677FAC" w:rsidRDefault="00677FAC" w:rsidP="00677FAC">
      <w:pPr>
        <w:pStyle w:val="a3"/>
        <w:kinsoku w:val="0"/>
        <w:overflowPunct w:val="0"/>
        <w:ind w:left="0" w:right="1309"/>
        <w:rPr>
          <w:rFonts w:ascii="Times New Roman" w:hAnsi="Times New Roman"/>
          <w:sz w:val="24"/>
          <w:szCs w:val="24"/>
          <w:lang w:val="az-Latn-AZ"/>
        </w:rPr>
      </w:pPr>
      <w:r w:rsidRPr="00677FAC">
        <w:rPr>
          <w:rFonts w:ascii="Times New Roman" w:hAnsi="Times New Roman"/>
          <w:b/>
          <w:sz w:val="24"/>
          <w:szCs w:val="24"/>
          <w:lang w:val="az-Latn-AZ"/>
        </w:rPr>
        <w:t xml:space="preserve">Beynəlxalq qiymətləndirmə standartları 2017 </w:t>
      </w:r>
      <w:r>
        <w:rPr>
          <w:rFonts w:ascii="Times New Roman" w:hAnsi="Times New Roman"/>
          <w:b/>
          <w:sz w:val="24"/>
          <w:szCs w:val="24"/>
          <w:lang w:val="az-Latn-AZ"/>
        </w:rPr>
        <w:t xml:space="preserve">/ </w:t>
      </w:r>
      <w:r w:rsidRPr="00677FAC">
        <w:rPr>
          <w:rFonts w:ascii="Times New Roman" w:hAnsi="Times New Roman"/>
          <w:sz w:val="24"/>
          <w:szCs w:val="24"/>
          <w:lang w:val="az-Latn-AZ"/>
        </w:rPr>
        <w:t>ingilis dilindən</w:t>
      </w:r>
      <w:r>
        <w:rPr>
          <w:rFonts w:ascii="Times New Roman" w:hAnsi="Times New Roman"/>
          <w:b/>
          <w:sz w:val="24"/>
          <w:szCs w:val="24"/>
          <w:lang w:val="az-Latn-AZ"/>
        </w:rPr>
        <w:t xml:space="preserve"> </w:t>
      </w:r>
      <w:r w:rsidRPr="00677FAC">
        <w:rPr>
          <w:rFonts w:ascii="Times New Roman" w:hAnsi="Times New Roman"/>
          <w:sz w:val="24"/>
          <w:szCs w:val="24"/>
          <w:lang w:val="az-Latn-AZ"/>
        </w:rPr>
        <w:t>Azərbaycan</w:t>
      </w:r>
      <w:r>
        <w:rPr>
          <w:rFonts w:ascii="Times New Roman" w:hAnsi="Times New Roman"/>
          <w:sz w:val="24"/>
          <w:szCs w:val="24"/>
          <w:lang w:val="az-Latn-AZ"/>
        </w:rPr>
        <w:t xml:space="preserve"> Qiymətləndiricilər Cəmiyyəti tərəfindən 2018-ci il tarixdə tərcümə edilib. – 108 səh.</w:t>
      </w:r>
      <w:r w:rsidRPr="00677FAC">
        <w:rPr>
          <w:rFonts w:ascii="Times New Roman" w:hAnsi="Times New Roman"/>
          <w:sz w:val="24"/>
          <w:szCs w:val="24"/>
          <w:lang w:val="az-Latn-AZ"/>
        </w:rPr>
        <w:t xml:space="preserve"> </w:t>
      </w: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154962" w:rsidRDefault="00154962">
      <w:pPr>
        <w:pStyle w:val="a3"/>
        <w:kinsoku w:val="0"/>
        <w:overflowPunct w:val="0"/>
        <w:ind w:left="0"/>
        <w:rPr>
          <w:rFonts w:ascii="Times New Roman" w:hAnsi="Times New Roman"/>
          <w:sz w:val="24"/>
          <w:szCs w:val="24"/>
          <w:lang w:val="az-Latn-AZ"/>
        </w:rPr>
      </w:pPr>
    </w:p>
    <w:p w:rsidR="00D02DD9" w:rsidRPr="009C2EF2" w:rsidRDefault="0075026C" w:rsidP="00C12F86">
      <w:pPr>
        <w:pStyle w:val="a3"/>
        <w:kinsoku w:val="0"/>
        <w:overflowPunct w:val="0"/>
        <w:ind w:left="0"/>
        <w:rPr>
          <w:rFonts w:ascii="Times New Roman" w:hAnsi="Times New Roman"/>
          <w:b/>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56704" behindDoc="1" locked="0" layoutInCell="0" allowOverlap="1">
                <wp:simplePos x="0" y="0"/>
                <wp:positionH relativeFrom="page">
                  <wp:posOffset>5183505</wp:posOffset>
                </wp:positionH>
                <wp:positionV relativeFrom="page">
                  <wp:posOffset>0</wp:posOffset>
                </wp:positionV>
                <wp:extent cx="431800" cy="8423910"/>
                <wp:effectExtent l="0" t="0" r="0" b="0"/>
                <wp:wrapNone/>
                <wp:docPr id="25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4FA615" id="Freeform 16" o:spid="_x0000_s1026" style="position:absolute;margin-left:408.15pt;margin-top:0;width:34pt;height:663.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ATNh77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r w:rsidR="003C64E0" w:rsidRPr="009C2EF2">
        <w:rPr>
          <w:rFonts w:ascii="Times New Roman" w:hAnsi="Times New Roman"/>
          <w:color w:val="231F20"/>
          <w:spacing w:val="-1"/>
          <w:sz w:val="24"/>
          <w:szCs w:val="24"/>
          <w:lang w:val="az-Latn-AZ"/>
        </w:rPr>
        <w:t>Mündəricat</w:t>
      </w: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72444D">
      <w:pPr>
        <w:pStyle w:val="a3"/>
        <w:tabs>
          <w:tab w:val="left" w:pos="6593"/>
        </w:tabs>
        <w:kinsoku w:val="0"/>
        <w:overflowPunct w:val="0"/>
        <w:spacing w:before="288"/>
        <w:ind w:left="113"/>
        <w:rPr>
          <w:rFonts w:ascii="Times New Roman" w:hAnsi="Times New Roman"/>
          <w:color w:val="000000"/>
          <w:sz w:val="24"/>
          <w:szCs w:val="24"/>
          <w:lang w:val="az-Latn-AZ"/>
        </w:rPr>
      </w:pPr>
      <w:hyperlink w:anchor="bookmark0" w:history="1">
        <w:r w:rsidR="003C64E0" w:rsidRPr="009C2EF2">
          <w:rPr>
            <w:rFonts w:ascii="Times New Roman" w:hAnsi="Times New Roman"/>
            <w:color w:val="231F20"/>
            <w:w w:val="95"/>
            <w:sz w:val="24"/>
            <w:szCs w:val="24"/>
            <w:lang w:val="az-Latn-AZ"/>
          </w:rPr>
          <w:t>Giriş</w:t>
        </w:r>
        <w:r w:rsidR="003C64E0" w:rsidRPr="009C2EF2">
          <w:rPr>
            <w:rFonts w:ascii="Times New Roman" w:hAnsi="Times New Roman"/>
            <w:color w:val="231F20"/>
            <w:w w:val="95"/>
            <w:sz w:val="24"/>
            <w:szCs w:val="24"/>
            <w:lang w:val="az-Latn-AZ"/>
          </w:rPr>
          <w:tab/>
          <w:t>1</w:t>
        </w:r>
      </w:hyperlink>
    </w:p>
    <w:p w:rsidR="00D02DD9" w:rsidRPr="009C2EF2" w:rsidRDefault="0072444D">
      <w:pPr>
        <w:pStyle w:val="a3"/>
        <w:tabs>
          <w:tab w:val="left" w:pos="6593"/>
        </w:tabs>
        <w:kinsoku w:val="0"/>
        <w:overflowPunct w:val="0"/>
        <w:spacing w:before="123"/>
        <w:ind w:left="113"/>
        <w:rPr>
          <w:rFonts w:ascii="Times New Roman" w:hAnsi="Times New Roman"/>
          <w:color w:val="000000"/>
          <w:sz w:val="24"/>
          <w:szCs w:val="24"/>
          <w:lang w:val="az-Latn-AZ"/>
        </w:rPr>
      </w:pPr>
      <w:hyperlink w:anchor="bookmark1" w:history="1">
        <w:r w:rsidR="003C64E0" w:rsidRPr="009C2EF2">
          <w:rPr>
            <w:rFonts w:ascii="Times New Roman" w:hAnsi="Times New Roman"/>
            <w:color w:val="231F20"/>
            <w:w w:val="95"/>
            <w:sz w:val="24"/>
            <w:szCs w:val="24"/>
            <w:lang w:val="az-Latn-AZ"/>
          </w:rPr>
          <w:t>Lüğət</w:t>
        </w:r>
        <w:r w:rsidR="003C64E0" w:rsidRPr="009C2EF2">
          <w:rPr>
            <w:rFonts w:ascii="Times New Roman" w:hAnsi="Times New Roman"/>
            <w:color w:val="231F20"/>
            <w:w w:val="95"/>
            <w:sz w:val="24"/>
            <w:szCs w:val="24"/>
            <w:lang w:val="az-Latn-AZ"/>
          </w:rPr>
          <w:tab/>
          <w:t>3</w:t>
        </w:r>
      </w:hyperlink>
    </w:p>
    <w:p w:rsidR="00D02DD9" w:rsidRPr="009C2EF2" w:rsidRDefault="0072444D">
      <w:pPr>
        <w:pStyle w:val="a3"/>
        <w:tabs>
          <w:tab w:val="left" w:pos="6593"/>
        </w:tabs>
        <w:kinsoku w:val="0"/>
        <w:overflowPunct w:val="0"/>
        <w:spacing w:before="123"/>
        <w:ind w:left="113"/>
        <w:rPr>
          <w:rFonts w:ascii="Times New Roman" w:hAnsi="Times New Roman"/>
          <w:color w:val="000000"/>
          <w:sz w:val="24"/>
          <w:szCs w:val="24"/>
          <w:lang w:val="az-Latn-AZ"/>
        </w:rPr>
      </w:pPr>
      <w:hyperlink w:anchor="bookmark2" w:history="1">
        <w:r w:rsidR="003C64E0" w:rsidRPr="009C2EF2">
          <w:rPr>
            <w:rFonts w:ascii="Times New Roman" w:hAnsi="Times New Roman"/>
            <w:color w:val="231F20"/>
            <w:spacing w:val="-1"/>
            <w:sz w:val="24"/>
            <w:szCs w:val="24"/>
            <w:lang w:val="az-Latn-AZ"/>
          </w:rPr>
          <w:t>Beynəlxalq Qiymətləndirmə Standartları (BQS) Çərçivəsi</w:t>
        </w:r>
        <w:r w:rsidR="003C64E0" w:rsidRPr="009C2EF2">
          <w:rPr>
            <w:rFonts w:ascii="Times New Roman" w:hAnsi="Times New Roman"/>
            <w:color w:val="231F20"/>
            <w:spacing w:val="-1"/>
            <w:sz w:val="24"/>
            <w:szCs w:val="24"/>
            <w:lang w:val="az-Latn-AZ"/>
          </w:rPr>
          <w:tab/>
          <w:t>6</w:t>
        </w:r>
      </w:hyperlink>
    </w:p>
    <w:p w:rsidR="00D02DD9" w:rsidRPr="009C2EF2" w:rsidRDefault="0072444D">
      <w:pPr>
        <w:pStyle w:val="a3"/>
        <w:kinsoku w:val="0"/>
        <w:overflowPunct w:val="0"/>
        <w:spacing w:before="236"/>
        <w:ind w:left="113"/>
        <w:rPr>
          <w:rFonts w:ascii="Times New Roman" w:hAnsi="Times New Roman"/>
          <w:color w:val="000000"/>
          <w:sz w:val="24"/>
          <w:szCs w:val="24"/>
          <w:lang w:val="az-Latn-AZ"/>
        </w:rPr>
      </w:pPr>
      <w:hyperlink w:anchor="bookmark3" w:history="1">
        <w:r w:rsidR="003C64E0" w:rsidRPr="009C2EF2">
          <w:rPr>
            <w:rFonts w:ascii="Times New Roman" w:hAnsi="Times New Roman"/>
            <w:b/>
            <w:color w:val="231F20"/>
            <w:spacing w:val="1"/>
            <w:sz w:val="24"/>
            <w:szCs w:val="24"/>
            <w:lang w:val="az-Latn-AZ"/>
          </w:rPr>
          <w:t>Əsas Standartlar</w:t>
        </w:r>
      </w:hyperlink>
    </w:p>
    <w:p w:rsidR="00D02DD9" w:rsidRPr="009C2EF2" w:rsidRDefault="0072444D">
      <w:pPr>
        <w:pStyle w:val="a3"/>
        <w:tabs>
          <w:tab w:val="left" w:pos="6635"/>
        </w:tabs>
        <w:kinsoku w:val="0"/>
        <w:overflowPunct w:val="0"/>
        <w:spacing w:before="123"/>
        <w:ind w:left="397"/>
        <w:rPr>
          <w:rFonts w:ascii="Times New Roman" w:hAnsi="Times New Roman"/>
          <w:color w:val="000000"/>
          <w:sz w:val="24"/>
          <w:szCs w:val="24"/>
          <w:lang w:val="az-Latn-AZ"/>
        </w:rPr>
      </w:pPr>
      <w:hyperlink w:anchor="bookmark3" w:history="1">
        <w:r w:rsidR="003C64E0" w:rsidRPr="009C2EF2">
          <w:rPr>
            <w:rFonts w:ascii="Times New Roman" w:hAnsi="Times New Roman"/>
            <w:color w:val="231F20"/>
            <w:spacing w:val="-1"/>
            <w:sz w:val="24"/>
            <w:szCs w:val="24"/>
            <w:lang w:val="az-Latn-AZ"/>
          </w:rPr>
          <w:t>BQS 101 İşin Əhatə Dairəsi</w:t>
        </w:r>
        <w:r w:rsidR="003C64E0" w:rsidRPr="009C2EF2">
          <w:rPr>
            <w:rFonts w:ascii="Times New Roman" w:hAnsi="Times New Roman"/>
            <w:color w:val="231F20"/>
            <w:spacing w:val="-1"/>
            <w:sz w:val="24"/>
            <w:szCs w:val="24"/>
            <w:lang w:val="az-Latn-AZ"/>
          </w:rPr>
          <w:tab/>
          <w:t>9</w:t>
        </w:r>
      </w:hyperlink>
    </w:p>
    <w:p w:rsidR="00D02DD9" w:rsidRPr="009C2EF2" w:rsidRDefault="0072444D">
      <w:pPr>
        <w:pStyle w:val="a3"/>
        <w:tabs>
          <w:tab w:val="left" w:pos="6533"/>
        </w:tabs>
        <w:kinsoku w:val="0"/>
        <w:overflowPunct w:val="0"/>
        <w:spacing w:before="123"/>
        <w:ind w:left="397"/>
        <w:rPr>
          <w:rFonts w:ascii="Times New Roman" w:hAnsi="Times New Roman"/>
          <w:color w:val="000000"/>
          <w:sz w:val="24"/>
          <w:szCs w:val="24"/>
          <w:lang w:val="az-Latn-AZ"/>
        </w:rPr>
      </w:pPr>
      <w:hyperlink w:anchor="bookmark4" w:history="1">
        <w:r w:rsidR="003C64E0" w:rsidRPr="009C2EF2">
          <w:rPr>
            <w:rFonts w:ascii="Times New Roman" w:hAnsi="Times New Roman"/>
            <w:color w:val="231F20"/>
            <w:spacing w:val="-1"/>
            <w:sz w:val="24"/>
            <w:szCs w:val="24"/>
            <w:lang w:val="az-Latn-AZ"/>
          </w:rPr>
          <w:t>BQS 102 Araşdırmalar və Uyğunluq</w:t>
        </w:r>
        <w:r w:rsidR="003C64E0" w:rsidRPr="009C2EF2">
          <w:rPr>
            <w:rFonts w:ascii="Times New Roman" w:hAnsi="Times New Roman"/>
            <w:color w:val="231F20"/>
            <w:spacing w:val="-1"/>
            <w:sz w:val="24"/>
            <w:szCs w:val="24"/>
            <w:lang w:val="az-Latn-AZ"/>
          </w:rPr>
          <w:tab/>
          <w:t>12</w:t>
        </w:r>
      </w:hyperlink>
    </w:p>
    <w:p w:rsidR="00D02DD9" w:rsidRPr="009C2EF2" w:rsidRDefault="0072444D">
      <w:pPr>
        <w:pStyle w:val="a3"/>
        <w:tabs>
          <w:tab w:val="left" w:pos="6532"/>
        </w:tabs>
        <w:kinsoku w:val="0"/>
        <w:overflowPunct w:val="0"/>
        <w:spacing w:before="123"/>
        <w:ind w:left="397"/>
        <w:rPr>
          <w:rFonts w:ascii="Times New Roman" w:hAnsi="Times New Roman"/>
          <w:color w:val="000000"/>
          <w:sz w:val="24"/>
          <w:szCs w:val="24"/>
          <w:lang w:val="az-Latn-AZ"/>
        </w:rPr>
      </w:pPr>
      <w:hyperlink w:anchor="bookmark5" w:history="1">
        <w:r w:rsidR="003C64E0" w:rsidRPr="009C2EF2">
          <w:rPr>
            <w:rFonts w:ascii="Times New Roman" w:hAnsi="Times New Roman"/>
            <w:color w:val="231F20"/>
            <w:spacing w:val="-1"/>
            <w:sz w:val="24"/>
            <w:szCs w:val="24"/>
            <w:lang w:val="az-Latn-AZ"/>
          </w:rPr>
          <w:t>BQS 103 Hesabat</w:t>
        </w:r>
        <w:r w:rsidR="003C64E0" w:rsidRPr="009C2EF2">
          <w:rPr>
            <w:rFonts w:ascii="Times New Roman" w:hAnsi="Times New Roman"/>
            <w:color w:val="231F20"/>
            <w:spacing w:val="-1"/>
            <w:sz w:val="24"/>
            <w:szCs w:val="24"/>
            <w:lang w:val="az-Latn-AZ"/>
          </w:rPr>
          <w:tab/>
          <w:t>14</w:t>
        </w:r>
      </w:hyperlink>
    </w:p>
    <w:p w:rsidR="00D02DD9" w:rsidRPr="009C2EF2" w:rsidRDefault="0072444D">
      <w:pPr>
        <w:pStyle w:val="a3"/>
        <w:tabs>
          <w:tab w:val="left" w:pos="6530"/>
        </w:tabs>
        <w:kinsoku w:val="0"/>
        <w:overflowPunct w:val="0"/>
        <w:spacing w:before="123"/>
        <w:ind w:left="397"/>
        <w:rPr>
          <w:rFonts w:ascii="Times New Roman" w:hAnsi="Times New Roman"/>
          <w:color w:val="000000"/>
          <w:sz w:val="24"/>
          <w:szCs w:val="24"/>
          <w:lang w:val="az-Latn-AZ"/>
        </w:rPr>
      </w:pPr>
      <w:hyperlink w:anchor="bookmark6" w:history="1">
        <w:r w:rsidR="003C64E0" w:rsidRPr="009C2EF2">
          <w:rPr>
            <w:rFonts w:ascii="Times New Roman" w:hAnsi="Times New Roman"/>
            <w:color w:val="231F20"/>
            <w:spacing w:val="-1"/>
            <w:sz w:val="24"/>
            <w:szCs w:val="24"/>
            <w:lang w:val="az-Latn-AZ"/>
          </w:rPr>
          <w:t>BQS 104 Dəyər Bazaları</w:t>
        </w:r>
        <w:r w:rsidR="003C64E0" w:rsidRPr="009C2EF2">
          <w:rPr>
            <w:rFonts w:ascii="Times New Roman" w:hAnsi="Times New Roman"/>
            <w:color w:val="231F20"/>
            <w:spacing w:val="-1"/>
            <w:sz w:val="24"/>
            <w:szCs w:val="24"/>
            <w:lang w:val="az-Latn-AZ"/>
          </w:rPr>
          <w:tab/>
          <w:t>16</w:t>
        </w:r>
      </w:hyperlink>
    </w:p>
    <w:p w:rsidR="00D02DD9" w:rsidRPr="009C2EF2" w:rsidRDefault="0075026C">
      <w:pPr>
        <w:pStyle w:val="a3"/>
        <w:tabs>
          <w:tab w:val="left" w:pos="6522"/>
        </w:tabs>
        <w:kinsoku w:val="0"/>
        <w:overflowPunct w:val="0"/>
        <w:spacing w:before="123"/>
        <w:ind w:left="397"/>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38944" behindDoc="0" locked="0" layoutInCell="0" allowOverlap="1">
                <wp:simplePos x="0" y="0"/>
                <wp:positionH relativeFrom="page">
                  <wp:posOffset>5276215</wp:posOffset>
                </wp:positionH>
                <wp:positionV relativeFrom="paragraph">
                  <wp:posOffset>191135</wp:posOffset>
                </wp:positionV>
                <wp:extent cx="152400" cy="786765"/>
                <wp:effectExtent l="0" t="0" r="0" b="0"/>
                <wp:wrapNone/>
                <wp:docPr id="2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hyperlink w:anchor="bookmark4" w:history="1">
                              <w:r>
                                <w:rPr>
                                  <w:b/>
                                  <w:color w:val="FFFFFF"/>
                                  <w:spacing w:val="2"/>
                                  <w:w w:val="106"/>
                                  <w:sz w:val="20"/>
                                  <w:szCs w:val="24"/>
                                  <w:lang w:val="az-Latn-AZ"/>
                                </w:rPr>
                                <w:t>Giriş</w:t>
                              </w:r>
                            </w:hyperlink>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left:0;text-align:left;margin-left:415.45pt;margin-top:15.05pt;width:12pt;height:61.9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morgIAALI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hyperlink w:anchor="bookmark4" w:history="1">
                        <w:r>
                          <w:rPr>
                            <w:b/>
                            <w:color w:val="FFFFFF"/>
                            <w:spacing w:val="2"/>
                            <w:w w:val="106"/>
                            <w:sz w:val="20"/>
                            <w:szCs w:val="24"/>
                            <w:lang w:val="az-Latn-AZ"/>
                          </w:rPr>
                          <w:t>Giriş</w:t>
                        </w:r>
                      </w:hyperlink>
                    </w:p>
                  </w:txbxContent>
                </v:textbox>
                <w10:wrap anchorx="page"/>
              </v:shape>
            </w:pict>
          </mc:Fallback>
        </mc:AlternateContent>
      </w:r>
      <w:hyperlink w:anchor="bookmark7" w:history="1">
        <w:r w:rsidR="003C64E0" w:rsidRPr="009C2EF2">
          <w:rPr>
            <w:rFonts w:ascii="Times New Roman" w:hAnsi="Times New Roman"/>
            <w:color w:val="231F20"/>
            <w:spacing w:val="-1"/>
            <w:sz w:val="24"/>
            <w:szCs w:val="24"/>
            <w:lang w:val="az-Latn-AZ"/>
          </w:rPr>
          <w:t>BQS 105 Qiymətləndirmə Yanaşmaları və Metodları</w:t>
        </w:r>
        <w:r w:rsidR="003C64E0" w:rsidRPr="009C2EF2">
          <w:rPr>
            <w:rFonts w:ascii="Times New Roman" w:hAnsi="Times New Roman"/>
            <w:color w:val="231F20"/>
            <w:spacing w:val="-1"/>
            <w:sz w:val="24"/>
            <w:szCs w:val="24"/>
            <w:lang w:val="az-Latn-AZ"/>
          </w:rPr>
          <w:tab/>
          <w:t>29</w:t>
        </w:r>
      </w:hyperlink>
    </w:p>
    <w:p w:rsidR="00D02DD9" w:rsidRPr="009C2EF2" w:rsidRDefault="0072444D">
      <w:pPr>
        <w:pStyle w:val="a3"/>
        <w:kinsoku w:val="0"/>
        <w:overflowPunct w:val="0"/>
        <w:spacing w:before="236"/>
        <w:ind w:left="113"/>
        <w:rPr>
          <w:rFonts w:ascii="Times New Roman" w:hAnsi="Times New Roman"/>
          <w:color w:val="000000"/>
          <w:sz w:val="24"/>
          <w:szCs w:val="24"/>
          <w:lang w:val="az-Latn-AZ"/>
        </w:rPr>
      </w:pPr>
      <w:hyperlink w:anchor="bookmark8" w:history="1">
        <w:r w:rsidR="003C64E0" w:rsidRPr="009C2EF2">
          <w:rPr>
            <w:rFonts w:ascii="Times New Roman" w:hAnsi="Times New Roman"/>
            <w:b/>
            <w:color w:val="231F20"/>
            <w:spacing w:val="1"/>
            <w:sz w:val="24"/>
            <w:szCs w:val="24"/>
            <w:lang w:val="az-Latn-AZ"/>
          </w:rPr>
          <w:t>Aktiv</w:t>
        </w:r>
        <w:r>
          <w:rPr>
            <w:rFonts w:ascii="Times New Roman" w:hAnsi="Times New Roman"/>
            <w:b/>
            <w:color w:val="231F20"/>
            <w:spacing w:val="1"/>
            <w:sz w:val="24"/>
            <w:szCs w:val="24"/>
            <w:lang w:val="az-Latn-AZ"/>
          </w:rPr>
          <w:t>lər</w:t>
        </w:r>
        <w:r w:rsidR="003C64E0" w:rsidRPr="009C2EF2">
          <w:rPr>
            <w:rFonts w:ascii="Times New Roman" w:hAnsi="Times New Roman"/>
            <w:b/>
            <w:color w:val="231F20"/>
            <w:spacing w:val="1"/>
            <w:sz w:val="24"/>
            <w:szCs w:val="24"/>
            <w:lang w:val="az-Latn-AZ"/>
          </w:rPr>
          <w:t xml:space="preserve"> üzrə Standartlar</w:t>
        </w:r>
      </w:hyperlink>
    </w:p>
    <w:p w:rsidR="00D02DD9" w:rsidRPr="009C2EF2" w:rsidRDefault="0072444D">
      <w:pPr>
        <w:pStyle w:val="a3"/>
        <w:tabs>
          <w:tab w:val="left" w:pos="6523"/>
        </w:tabs>
        <w:kinsoku w:val="0"/>
        <w:overflowPunct w:val="0"/>
        <w:spacing w:before="123"/>
        <w:ind w:left="397"/>
        <w:rPr>
          <w:rFonts w:ascii="Times New Roman" w:hAnsi="Times New Roman"/>
          <w:color w:val="000000"/>
          <w:sz w:val="24"/>
          <w:szCs w:val="24"/>
          <w:lang w:val="az-Latn-AZ"/>
        </w:rPr>
      </w:pPr>
      <w:hyperlink w:anchor="bookmark8" w:history="1">
        <w:r w:rsidR="003C64E0" w:rsidRPr="009C2EF2">
          <w:rPr>
            <w:rFonts w:ascii="Times New Roman" w:hAnsi="Times New Roman"/>
            <w:color w:val="231F20"/>
            <w:spacing w:val="-1"/>
            <w:sz w:val="24"/>
            <w:szCs w:val="24"/>
            <w:lang w:val="az-Latn-AZ"/>
          </w:rPr>
          <w:t>BQS 200 Müəssisə və Müəssisənin İştirak Payları</w:t>
        </w:r>
        <w:r w:rsidR="003C64E0" w:rsidRPr="009C2EF2">
          <w:rPr>
            <w:rFonts w:ascii="Times New Roman" w:hAnsi="Times New Roman"/>
            <w:color w:val="231F20"/>
            <w:spacing w:val="-1"/>
            <w:sz w:val="24"/>
            <w:szCs w:val="24"/>
            <w:lang w:val="az-Latn-AZ"/>
          </w:rPr>
          <w:tab/>
          <w:t>49</w:t>
        </w:r>
      </w:hyperlink>
    </w:p>
    <w:p w:rsidR="00D02DD9" w:rsidRPr="009C2EF2" w:rsidRDefault="0072444D">
      <w:pPr>
        <w:pStyle w:val="a3"/>
        <w:tabs>
          <w:tab w:val="left" w:pos="6525"/>
        </w:tabs>
        <w:kinsoku w:val="0"/>
        <w:overflowPunct w:val="0"/>
        <w:spacing w:before="123"/>
        <w:ind w:left="397"/>
        <w:rPr>
          <w:rFonts w:ascii="Times New Roman" w:hAnsi="Times New Roman"/>
          <w:color w:val="000000"/>
          <w:sz w:val="24"/>
          <w:szCs w:val="24"/>
          <w:lang w:val="az-Latn-AZ"/>
        </w:rPr>
      </w:pPr>
      <w:hyperlink w:anchor="bookmark9" w:history="1">
        <w:r w:rsidR="003C64E0" w:rsidRPr="009C2EF2">
          <w:rPr>
            <w:rFonts w:ascii="Times New Roman" w:hAnsi="Times New Roman"/>
            <w:color w:val="231F20"/>
            <w:spacing w:val="-1"/>
            <w:sz w:val="24"/>
            <w:szCs w:val="24"/>
            <w:lang w:val="az-Latn-AZ"/>
          </w:rPr>
          <w:t>BQS 210 Qeyri-maddi aktivlər</w:t>
        </w:r>
        <w:r w:rsidR="003C64E0" w:rsidRPr="009C2EF2">
          <w:rPr>
            <w:rFonts w:ascii="Times New Roman" w:hAnsi="Times New Roman"/>
            <w:color w:val="231F20"/>
            <w:spacing w:val="-1"/>
            <w:sz w:val="24"/>
            <w:szCs w:val="24"/>
            <w:lang w:val="az-Latn-AZ"/>
          </w:rPr>
          <w:tab/>
          <w:t>57</w:t>
        </w:r>
      </w:hyperlink>
    </w:p>
    <w:p w:rsidR="00D02DD9" w:rsidRPr="009C2EF2" w:rsidRDefault="0072444D">
      <w:pPr>
        <w:pStyle w:val="a3"/>
        <w:tabs>
          <w:tab w:val="left" w:pos="6538"/>
        </w:tabs>
        <w:kinsoku w:val="0"/>
        <w:overflowPunct w:val="0"/>
        <w:spacing w:before="123"/>
        <w:ind w:left="397"/>
        <w:rPr>
          <w:rFonts w:ascii="Times New Roman" w:hAnsi="Times New Roman"/>
          <w:color w:val="000000"/>
          <w:sz w:val="24"/>
          <w:szCs w:val="24"/>
          <w:lang w:val="az-Latn-AZ"/>
        </w:rPr>
      </w:pPr>
      <w:hyperlink w:anchor="bookmark10" w:history="1">
        <w:r w:rsidR="003C64E0" w:rsidRPr="009C2EF2">
          <w:rPr>
            <w:rFonts w:ascii="Times New Roman" w:hAnsi="Times New Roman"/>
            <w:color w:val="231F20"/>
            <w:spacing w:val="-1"/>
            <w:sz w:val="24"/>
            <w:szCs w:val="24"/>
            <w:lang w:val="az-Latn-AZ"/>
          </w:rPr>
          <w:t>BQS 300 İstehsalat vasitələri, Maşın və Avadanlıqlar</w:t>
        </w:r>
        <w:r w:rsidR="003C64E0" w:rsidRPr="009C2EF2">
          <w:rPr>
            <w:rFonts w:ascii="Times New Roman" w:hAnsi="Times New Roman"/>
            <w:color w:val="231F20"/>
            <w:spacing w:val="-1"/>
            <w:sz w:val="24"/>
            <w:szCs w:val="24"/>
            <w:lang w:val="az-Latn-AZ"/>
          </w:rPr>
          <w:tab/>
          <w:t>74</w:t>
        </w:r>
      </w:hyperlink>
    </w:p>
    <w:p w:rsidR="00D02DD9" w:rsidRPr="009C2EF2" w:rsidRDefault="0072444D">
      <w:pPr>
        <w:pStyle w:val="a3"/>
        <w:tabs>
          <w:tab w:val="left" w:pos="6531"/>
        </w:tabs>
        <w:kinsoku w:val="0"/>
        <w:overflowPunct w:val="0"/>
        <w:spacing w:before="123"/>
        <w:ind w:left="397"/>
        <w:rPr>
          <w:rFonts w:ascii="Times New Roman" w:hAnsi="Times New Roman"/>
          <w:color w:val="000000"/>
          <w:sz w:val="24"/>
          <w:szCs w:val="24"/>
          <w:lang w:val="az-Latn-AZ"/>
        </w:rPr>
      </w:pPr>
      <w:hyperlink w:anchor="bookmark11" w:history="1">
        <w:r w:rsidR="003C64E0" w:rsidRPr="009C2EF2">
          <w:rPr>
            <w:rFonts w:ascii="Times New Roman" w:hAnsi="Times New Roman"/>
            <w:color w:val="231F20"/>
            <w:spacing w:val="-1"/>
            <w:sz w:val="24"/>
            <w:szCs w:val="24"/>
            <w:lang w:val="az-Latn-AZ"/>
          </w:rPr>
          <w:t>BQS 400 Daşınmaz Əmlak üzrə İştirak Payları</w:t>
        </w:r>
        <w:r w:rsidR="003C64E0" w:rsidRPr="009C2EF2">
          <w:rPr>
            <w:rFonts w:ascii="Times New Roman" w:hAnsi="Times New Roman"/>
            <w:color w:val="231F20"/>
            <w:spacing w:val="-1"/>
            <w:sz w:val="24"/>
            <w:szCs w:val="24"/>
            <w:lang w:val="az-Latn-AZ"/>
          </w:rPr>
          <w:tab/>
          <w:t>81</w:t>
        </w:r>
      </w:hyperlink>
    </w:p>
    <w:p w:rsidR="00D02DD9" w:rsidRPr="009C2EF2" w:rsidRDefault="0072444D">
      <w:pPr>
        <w:pStyle w:val="a3"/>
        <w:tabs>
          <w:tab w:val="left" w:pos="6521"/>
        </w:tabs>
        <w:kinsoku w:val="0"/>
        <w:overflowPunct w:val="0"/>
        <w:spacing w:before="123"/>
        <w:ind w:left="397"/>
        <w:rPr>
          <w:rFonts w:ascii="Times New Roman" w:hAnsi="Times New Roman"/>
          <w:color w:val="000000"/>
          <w:sz w:val="24"/>
          <w:szCs w:val="24"/>
          <w:lang w:val="az-Latn-AZ"/>
        </w:rPr>
      </w:pPr>
      <w:hyperlink w:anchor="bookmark12" w:history="1">
        <w:r w:rsidR="003C64E0" w:rsidRPr="009C2EF2">
          <w:rPr>
            <w:rFonts w:ascii="Times New Roman" w:hAnsi="Times New Roman"/>
            <w:color w:val="231F20"/>
            <w:spacing w:val="-1"/>
            <w:sz w:val="24"/>
            <w:szCs w:val="24"/>
            <w:lang w:val="az-Latn-AZ"/>
          </w:rPr>
          <w:t>BQS 410 Tikinti Obyekti</w:t>
        </w:r>
        <w:r w:rsidR="003C64E0" w:rsidRPr="009C2EF2">
          <w:rPr>
            <w:rFonts w:ascii="Times New Roman" w:hAnsi="Times New Roman"/>
            <w:color w:val="231F20"/>
            <w:spacing w:val="-1"/>
            <w:sz w:val="24"/>
            <w:szCs w:val="24"/>
            <w:lang w:val="az-Latn-AZ"/>
          </w:rPr>
          <w:tab/>
          <w:t>88</w:t>
        </w:r>
      </w:hyperlink>
    </w:p>
    <w:p w:rsidR="00D02DD9" w:rsidRPr="009C2EF2" w:rsidRDefault="0072444D">
      <w:pPr>
        <w:pStyle w:val="a3"/>
        <w:tabs>
          <w:tab w:val="left" w:pos="6520"/>
        </w:tabs>
        <w:kinsoku w:val="0"/>
        <w:overflowPunct w:val="0"/>
        <w:spacing w:before="123"/>
        <w:ind w:left="397"/>
        <w:rPr>
          <w:rFonts w:ascii="Times New Roman" w:hAnsi="Times New Roman"/>
          <w:color w:val="000000"/>
          <w:sz w:val="24"/>
          <w:szCs w:val="24"/>
          <w:lang w:val="az-Latn-AZ"/>
        </w:rPr>
      </w:pPr>
      <w:hyperlink w:anchor="bookmark13" w:history="1">
        <w:r w:rsidR="003C64E0" w:rsidRPr="009C2EF2">
          <w:rPr>
            <w:rFonts w:ascii="Times New Roman" w:hAnsi="Times New Roman"/>
            <w:color w:val="231F20"/>
            <w:spacing w:val="-1"/>
            <w:sz w:val="24"/>
            <w:szCs w:val="24"/>
            <w:lang w:val="az-Latn-AZ"/>
          </w:rPr>
          <w:t>BQS 500 Maliyyə Alətləri</w:t>
        </w:r>
        <w:r w:rsidR="003C64E0" w:rsidRPr="009C2EF2">
          <w:rPr>
            <w:rFonts w:ascii="Times New Roman" w:hAnsi="Times New Roman"/>
            <w:color w:val="231F20"/>
            <w:spacing w:val="-1"/>
            <w:sz w:val="24"/>
            <w:szCs w:val="24"/>
            <w:lang w:val="az-Latn-AZ"/>
          </w:rPr>
          <w:tab/>
          <w:t>99</w:t>
        </w:r>
      </w:hyperlink>
    </w:p>
    <w:p w:rsidR="00D02DD9" w:rsidRPr="009C2EF2" w:rsidRDefault="0072444D">
      <w:pPr>
        <w:pStyle w:val="a3"/>
        <w:tabs>
          <w:tab w:val="left" w:pos="6415"/>
        </w:tabs>
        <w:kinsoku w:val="0"/>
        <w:overflowPunct w:val="0"/>
        <w:spacing w:before="236"/>
        <w:ind w:left="113"/>
        <w:rPr>
          <w:rFonts w:ascii="Times New Roman" w:hAnsi="Times New Roman"/>
          <w:color w:val="000000"/>
          <w:sz w:val="24"/>
          <w:szCs w:val="24"/>
          <w:lang w:val="az-Latn-AZ"/>
        </w:rPr>
      </w:pPr>
      <w:hyperlink w:anchor="bookmark14" w:history="1">
        <w:r>
          <w:rPr>
            <w:rFonts w:ascii="Times New Roman" w:hAnsi="Times New Roman"/>
            <w:color w:val="231F20"/>
            <w:spacing w:val="-1"/>
            <w:w w:val="95"/>
            <w:sz w:val="24"/>
            <w:szCs w:val="24"/>
            <w:lang w:val="az-Latn-AZ"/>
          </w:rPr>
          <w:t>Əsas terminlərin siyahısı</w:t>
        </w:r>
        <w:r w:rsidR="003C64E0" w:rsidRPr="009C2EF2">
          <w:rPr>
            <w:rFonts w:ascii="Times New Roman" w:hAnsi="Times New Roman"/>
            <w:color w:val="231F20"/>
            <w:spacing w:val="-1"/>
            <w:w w:val="95"/>
            <w:sz w:val="24"/>
            <w:szCs w:val="24"/>
            <w:lang w:val="az-Latn-AZ"/>
          </w:rPr>
          <w:tab/>
          <w:t>108</w:t>
        </w:r>
      </w:hyperlink>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rsidP="00154962">
      <w:pPr>
        <w:pStyle w:val="a3"/>
        <w:kinsoku w:val="0"/>
        <w:overflowPunct w:val="0"/>
        <w:ind w:left="2790" w:right="3636"/>
        <w:jc w:val="center"/>
        <w:rPr>
          <w:rFonts w:ascii="Times New Roman" w:hAnsi="Times New Roman"/>
          <w:color w:val="000000"/>
          <w:sz w:val="24"/>
          <w:szCs w:val="24"/>
          <w:lang w:val="az-Latn-AZ"/>
        </w:rPr>
        <w:sectPr w:rsidR="00D02DD9" w:rsidRPr="009C2EF2">
          <w:pgSz w:w="8850" w:h="13270"/>
          <w:pgMar w:top="0" w:right="0" w:bottom="0" w:left="1020" w:header="720" w:footer="720" w:gutter="0"/>
          <w:cols w:space="720" w:equalWidth="0">
            <w:col w:w="7830"/>
          </w:cols>
        </w:sectPr>
      </w:pPr>
    </w:p>
    <w:p w:rsidR="00677FAC" w:rsidRPr="0072444D" w:rsidRDefault="00677FAC" w:rsidP="00677FAC">
      <w:pPr>
        <w:pStyle w:val="a3"/>
        <w:kinsoku w:val="0"/>
        <w:overflowPunct w:val="0"/>
        <w:ind w:left="0"/>
        <w:rPr>
          <w:rFonts w:ascii="Times New Roman" w:hAnsi="Times New Roman"/>
          <w:b/>
          <w:color w:val="000000"/>
          <w:sz w:val="24"/>
          <w:szCs w:val="24"/>
          <w:lang w:val="az-Latn-AZ"/>
        </w:rPr>
      </w:pPr>
      <w:r w:rsidRPr="0072444D">
        <w:rPr>
          <w:rFonts w:ascii="Times New Roman" w:hAnsi="Times New Roman"/>
          <w:b/>
          <w:noProof/>
          <w:sz w:val="24"/>
          <w:szCs w:val="24"/>
          <w:lang w:val="ru-RU" w:eastAsia="ru-RU"/>
        </w:rPr>
        <w:lastRenderedPageBreak/>
        <mc:AlternateContent>
          <mc:Choice Requires="wps">
            <w:drawing>
              <wp:anchor distT="0" distB="0" distL="114300" distR="114300" simplePos="0" relativeHeight="251777536" behindDoc="1" locked="0" layoutInCell="0" allowOverlap="1" wp14:anchorId="36696D54" wp14:editId="0594095C">
                <wp:simplePos x="0" y="0"/>
                <wp:positionH relativeFrom="page">
                  <wp:posOffset>5183505</wp:posOffset>
                </wp:positionH>
                <wp:positionV relativeFrom="page">
                  <wp:posOffset>0</wp:posOffset>
                </wp:positionV>
                <wp:extent cx="431800" cy="8423910"/>
                <wp:effectExtent l="0" t="0" r="0" b="0"/>
                <wp:wrapNone/>
                <wp:docPr id="25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EDD9" id="Freeform 18" o:spid="_x0000_s1026" style="position:absolute;margin-left:408.15pt;margin-top:0;width:34pt;height:663.3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bookmarkStart w:id="0" w:name="bookmark0"/>
      <w:bookmarkEnd w:id="0"/>
      <w:r w:rsidRPr="0072444D">
        <w:rPr>
          <w:rFonts w:ascii="Times New Roman" w:hAnsi="Times New Roman"/>
          <w:b/>
          <w:color w:val="231F20"/>
          <w:spacing w:val="-1"/>
          <w:sz w:val="24"/>
          <w:szCs w:val="24"/>
          <w:lang w:val="az-Latn-AZ"/>
        </w:rPr>
        <w:t>Giriş</w:t>
      </w:r>
    </w:p>
    <w:p w:rsidR="00677FAC" w:rsidRPr="009C2EF2" w:rsidRDefault="00677FAC" w:rsidP="003220A8">
      <w:pPr>
        <w:pStyle w:val="a3"/>
        <w:kinsoku w:val="0"/>
        <w:overflowPunct w:val="0"/>
        <w:spacing w:before="283" w:line="250" w:lineRule="auto"/>
        <w:ind w:left="0" w:right="-39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Beynəlxalq Qiymətləndirmə Standartları Şurası (BQSŞ) əsas vəzifəsi qiymətləndirmə peşəsində keyfiyyətin yüksəldilməsi olan müstəqil və qeyri-kommersiya təşkilatıdır. Əsas məqsədimiz </w:t>
      </w:r>
      <w:r w:rsidRPr="009C2EF2">
        <w:rPr>
          <w:rFonts w:ascii="Times New Roman" w:hAnsi="Times New Roman"/>
          <w:i/>
          <w:color w:val="231F20"/>
          <w:sz w:val="24"/>
          <w:szCs w:val="24"/>
          <w:lang w:val="az-Latn-AZ"/>
        </w:rPr>
        <w:t>aktivlərin</w:t>
      </w:r>
      <w:r w:rsidRPr="009C2EF2">
        <w:rPr>
          <w:rFonts w:ascii="Times New Roman" w:hAnsi="Times New Roman"/>
          <w:color w:val="231F20"/>
          <w:sz w:val="24"/>
          <w:szCs w:val="24"/>
          <w:lang w:val="az-Latn-AZ"/>
        </w:rPr>
        <w:t xml:space="preserve"> qiymətləndirilməsi üzrə standartlar yaratmaqla və onların dünya miqyasında tanınmasını və icra olunmasını təmin etməklə qiymətləndirmə üzrə inam yaratmaq və ictimai etimad qazanmaqdır. Hesab edirik ki, Beynəlxalq Qiymətləndirmə Standartları </w:t>
      </w:r>
      <w:r>
        <w:rPr>
          <w:rFonts w:ascii="Times New Roman" w:hAnsi="Times New Roman"/>
          <w:color w:val="231F20"/>
          <w:sz w:val="24"/>
          <w:szCs w:val="24"/>
          <w:lang w:val="az-Latn-AZ"/>
        </w:rPr>
        <w:t xml:space="preserve">(BQS) </w:t>
      </w:r>
      <w:r w:rsidRPr="009C2EF2">
        <w:rPr>
          <w:rFonts w:ascii="Times New Roman" w:hAnsi="Times New Roman"/>
          <w:color w:val="231F20"/>
          <w:sz w:val="24"/>
          <w:szCs w:val="24"/>
          <w:lang w:val="az-Latn-AZ"/>
        </w:rPr>
        <w:t>peşəkarlığın yüksək səviyyəsini nümayiş etdirməklə yanaşı maliyyə sisteminin əsas hissəsini təşkil edir.</w:t>
      </w:r>
    </w:p>
    <w:p w:rsidR="00677FAC" w:rsidRPr="009C2EF2" w:rsidRDefault="00677FAC" w:rsidP="00677FAC">
      <w:pPr>
        <w:pStyle w:val="a3"/>
        <w:kinsoku w:val="0"/>
        <w:overflowPunct w:val="0"/>
        <w:spacing w:before="9"/>
        <w:ind w:left="0"/>
        <w:jc w:val="both"/>
        <w:rPr>
          <w:rFonts w:ascii="Times New Roman" w:hAnsi="Times New Roman"/>
          <w:sz w:val="24"/>
          <w:szCs w:val="24"/>
          <w:lang w:val="az-Latn-AZ"/>
        </w:rPr>
      </w:pPr>
    </w:p>
    <w:p w:rsidR="00677FAC" w:rsidRPr="009C2EF2" w:rsidRDefault="00677FAC" w:rsidP="003220A8">
      <w:pPr>
        <w:pStyle w:val="a3"/>
        <w:tabs>
          <w:tab w:val="left" w:pos="5103"/>
        </w:tabs>
        <w:kinsoku w:val="0"/>
        <w:overflowPunct w:val="0"/>
        <w:spacing w:line="250" w:lineRule="auto"/>
        <w:ind w:left="0" w:right="-394"/>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776512" behindDoc="0" locked="0" layoutInCell="0" allowOverlap="1" wp14:anchorId="1B37B9BC" wp14:editId="43DD1453">
                <wp:simplePos x="0" y="0"/>
                <wp:positionH relativeFrom="page">
                  <wp:posOffset>5276215</wp:posOffset>
                </wp:positionH>
                <wp:positionV relativeFrom="paragraph">
                  <wp:posOffset>915670</wp:posOffset>
                </wp:positionV>
                <wp:extent cx="152400" cy="786765"/>
                <wp:effectExtent l="0" t="0" r="0" b="0"/>
                <wp:wrapNone/>
                <wp:docPr id="2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FAC" w:rsidRDefault="00677FAC" w:rsidP="00677FAC">
                            <w:pPr>
                              <w:pStyle w:val="a3"/>
                              <w:kinsoku w:val="0"/>
                              <w:overflowPunct w:val="0"/>
                              <w:spacing w:line="226" w:lineRule="exact"/>
                              <w:ind w:left="20"/>
                              <w:rPr>
                                <w:color w:val="000000"/>
                                <w:sz w:val="20"/>
                                <w:szCs w:val="24"/>
                              </w:rPr>
                            </w:pPr>
                            <w:r>
                              <w:rPr>
                                <w:b/>
                                <w:color w:val="FFFFFF"/>
                                <w:spacing w:val="2"/>
                                <w:w w:val="106"/>
                                <w:sz w:val="20"/>
                                <w:szCs w:val="24"/>
                                <w:lang w:val="az-Latn-AZ"/>
                              </w:rPr>
                              <w:t>Giriş</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B9BC" id="Text Box 19" o:spid="_x0000_s1037" type="#_x0000_t202" style="position:absolute;left:0;text-align:left;margin-left:415.45pt;margin-top:72.1pt;width:12pt;height:61.9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9JrgIAALI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" o:allowincell="f" filled="f" stroked="f">
                <v:textbox style="layout-flow:vertical" inset="0,0,0,0">
                  <w:txbxContent>
                    <w:p w:rsidR="00677FAC" w:rsidRDefault="00677FAC" w:rsidP="00677FAC">
                      <w:pPr>
                        <w:pStyle w:val="a3"/>
                        <w:kinsoku w:val="0"/>
                        <w:overflowPunct w:val="0"/>
                        <w:spacing w:line="226" w:lineRule="exact"/>
                        <w:ind w:left="20"/>
                        <w:rPr>
                          <w:color w:val="000000"/>
                          <w:sz w:val="20"/>
                          <w:szCs w:val="24"/>
                        </w:rPr>
                      </w:pPr>
                      <w:r>
                        <w:rPr>
                          <w:b/>
                          <w:color w:val="FFFFFF"/>
                          <w:spacing w:val="2"/>
                          <w:w w:val="106"/>
                          <w:sz w:val="20"/>
                          <w:szCs w:val="24"/>
                          <w:lang w:val="az-Latn-AZ"/>
                        </w:rPr>
                        <w:t>Giriş</w:t>
                      </w:r>
                    </w:p>
                  </w:txbxContent>
                </v:textbox>
                <w10:wrap anchorx="page"/>
              </v:shape>
            </w:pict>
          </mc:Fallback>
        </mc:AlternateContent>
      </w:r>
      <w:r w:rsidRPr="009C2EF2">
        <w:rPr>
          <w:rFonts w:ascii="Times New Roman" w:hAnsi="Times New Roman"/>
          <w:color w:val="231F20"/>
          <w:spacing w:val="-1"/>
          <w:sz w:val="24"/>
          <w:szCs w:val="24"/>
          <w:lang w:val="az-Latn-AZ"/>
        </w:rPr>
        <w:t>Qiymətləndirmələrdən həm qanunvericiliyin tələblərinə uyğun olaraq maliyyə hesabatlarının tərkib hissəsi kimi, həm də təminatlı kreditləşməyə və tranzaksiya fəaliyyətinə dəstək olmaq üçün maliyyə bazarlarında və digər bazarlarda geniş istifadə olunur. Beynəlxalq Qiymətləndirmə Standartları (BQS) qiymətləndirmə praktikasında şəffaflığı və düzgünlüyü təmin edən konsepsiyalar və prinsiplərdən istifadə etməklə qiymətləndirmə tapşırıqlarının həyata keçirilməsi üçün nəzərdə tutulmuş standartlardır. Bundan başqa BQSŞ peşəkar qiymətləndiricilərin bilik və bacarıqlarının təkmilləşdirilməsi məqsədi ilə qabaqcıl təlimlərin keçirilməsini də dəstəkləyir.</w:t>
      </w:r>
    </w:p>
    <w:p w:rsidR="00677FAC" w:rsidRPr="009C2EF2" w:rsidRDefault="00677FAC" w:rsidP="00677FAC">
      <w:pPr>
        <w:pStyle w:val="a3"/>
        <w:tabs>
          <w:tab w:val="left" w:pos="5245"/>
        </w:tabs>
        <w:kinsoku w:val="0"/>
        <w:overflowPunct w:val="0"/>
        <w:spacing w:before="9"/>
        <w:ind w:left="0"/>
        <w:jc w:val="both"/>
        <w:rPr>
          <w:rFonts w:ascii="Times New Roman" w:hAnsi="Times New Roman"/>
          <w:sz w:val="24"/>
          <w:szCs w:val="24"/>
          <w:lang w:val="az-Latn-AZ"/>
        </w:rPr>
      </w:pPr>
    </w:p>
    <w:p w:rsidR="00677FAC" w:rsidRPr="009C2EF2" w:rsidRDefault="00677FAC" w:rsidP="003220A8">
      <w:pPr>
        <w:pStyle w:val="a3"/>
        <w:tabs>
          <w:tab w:val="left" w:pos="4962"/>
        </w:tabs>
        <w:kinsoku w:val="0"/>
        <w:overflowPunct w:val="0"/>
        <w:spacing w:line="250" w:lineRule="auto"/>
        <w:ind w:left="0" w:right="-39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BQSŞ Standartları Komitəsi BQS-nin tərtibi üçün məsuliyyət daşıyan orqandır. Gündəliyin hazırlanması və nəşrlərin təsdiqi Komitə tərəfindən həyata keçirilir.  BQS-nin tərtibi zamanı Komitə:</w:t>
      </w:r>
    </w:p>
    <w:p w:rsidR="00677FAC" w:rsidRPr="009C2EF2" w:rsidRDefault="00677FAC" w:rsidP="00677FAC">
      <w:pPr>
        <w:pStyle w:val="a3"/>
        <w:tabs>
          <w:tab w:val="left" w:pos="5245"/>
        </w:tabs>
        <w:kinsoku w:val="0"/>
        <w:overflowPunct w:val="0"/>
        <w:spacing w:before="9"/>
        <w:ind w:left="0" w:right="1202"/>
        <w:jc w:val="both"/>
        <w:rPr>
          <w:rFonts w:ascii="Times New Roman" w:hAnsi="Times New Roman"/>
          <w:sz w:val="24"/>
          <w:szCs w:val="24"/>
          <w:lang w:val="az-Latn-AZ"/>
        </w:rPr>
      </w:pPr>
    </w:p>
    <w:p w:rsidR="00677FAC" w:rsidRPr="009C2EF2" w:rsidRDefault="00677FAC" w:rsidP="003220A8">
      <w:pPr>
        <w:pStyle w:val="a3"/>
        <w:numPr>
          <w:ilvl w:val="0"/>
          <w:numId w:val="120"/>
        </w:numPr>
        <w:tabs>
          <w:tab w:val="left" w:pos="142"/>
          <w:tab w:val="left" w:pos="5245"/>
          <w:tab w:val="left" w:pos="5954"/>
        </w:tabs>
        <w:kinsoku w:val="0"/>
        <w:overflowPunct w:val="0"/>
        <w:spacing w:line="250" w:lineRule="auto"/>
        <w:ind w:left="0" w:right="-394"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yeni standartların yaradılmasında, o cümlədən maraqlı tərəflərlə (qiymətləndiricilər, qiymətləndirmə xidmətlərinin istifadəçiləri, tənzimləyici orqanlar,  peşəkar təşkilatlar və s.) məsləhətləşmələrdə, yeni standartların ictimaiyyətə təqdimatı və ya mövcud standartlara ciddi dəyişikliklərin edilməsində mövcud proseduraya əməl edir,</w:t>
      </w:r>
    </w:p>
    <w:p w:rsidR="00677FAC" w:rsidRPr="009C2EF2" w:rsidRDefault="00677FAC" w:rsidP="00677FAC">
      <w:pPr>
        <w:pStyle w:val="a3"/>
        <w:kinsoku w:val="0"/>
        <w:overflowPunct w:val="0"/>
        <w:spacing w:before="9"/>
        <w:ind w:left="0"/>
        <w:jc w:val="both"/>
        <w:rPr>
          <w:rFonts w:ascii="Times New Roman" w:hAnsi="Times New Roman"/>
          <w:sz w:val="24"/>
          <w:szCs w:val="24"/>
          <w:lang w:val="az-Latn-AZ"/>
        </w:rPr>
      </w:pPr>
    </w:p>
    <w:p w:rsidR="00677FAC" w:rsidRPr="009C2EF2" w:rsidRDefault="00677FAC" w:rsidP="003220A8">
      <w:pPr>
        <w:pStyle w:val="a3"/>
        <w:numPr>
          <w:ilvl w:val="0"/>
          <w:numId w:val="120"/>
        </w:numPr>
        <w:tabs>
          <w:tab w:val="left" w:pos="142"/>
        </w:tabs>
        <w:kinsoku w:val="0"/>
        <w:overflowPunct w:val="0"/>
        <w:spacing w:line="250" w:lineRule="auto"/>
        <w:ind w:left="0" w:right="-394"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maliyyə bazarlarında standartların müəyyənləşdirilməsi səlahiyyətinə malik digər orqanlarla əlaqə saxlayır, </w:t>
      </w:r>
    </w:p>
    <w:p w:rsidR="00677FAC" w:rsidRPr="009C2EF2" w:rsidRDefault="00677FAC" w:rsidP="00677FAC">
      <w:pPr>
        <w:pStyle w:val="a3"/>
        <w:kinsoku w:val="0"/>
        <w:overflowPunct w:val="0"/>
        <w:spacing w:before="9"/>
        <w:ind w:left="0"/>
        <w:jc w:val="both"/>
        <w:rPr>
          <w:rFonts w:ascii="Times New Roman" w:hAnsi="Times New Roman"/>
          <w:sz w:val="24"/>
          <w:szCs w:val="24"/>
          <w:lang w:val="az-Latn-AZ"/>
        </w:rPr>
      </w:pPr>
    </w:p>
    <w:p w:rsidR="00D02DD9" w:rsidRPr="006D28FF" w:rsidRDefault="00677FAC" w:rsidP="00C1247D">
      <w:pPr>
        <w:pStyle w:val="a3"/>
        <w:numPr>
          <w:ilvl w:val="0"/>
          <w:numId w:val="120"/>
        </w:numPr>
        <w:tabs>
          <w:tab w:val="left" w:pos="142"/>
        </w:tabs>
        <w:kinsoku w:val="0"/>
        <w:overflowPunct w:val="0"/>
        <w:spacing w:line="250" w:lineRule="auto"/>
        <w:ind w:left="0" w:right="-394"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səsvermə hüququ olan şəxslərlə dəyirmi masa müzakirələri və konkret istifadəçilər və istifadəçi qruplar ilə öncədən planlaşdırılmış müzakirələr də daxil olmaqla mütəmadi müşavirələr keçirir.</w:t>
      </w:r>
    </w:p>
    <w:p w:rsidR="006D28FF" w:rsidRDefault="006D28FF" w:rsidP="006D28FF">
      <w:pPr>
        <w:pStyle w:val="a3"/>
        <w:tabs>
          <w:tab w:val="left" w:pos="284"/>
        </w:tabs>
        <w:kinsoku w:val="0"/>
        <w:overflowPunct w:val="0"/>
        <w:spacing w:line="250" w:lineRule="auto"/>
        <w:ind w:right="31"/>
        <w:jc w:val="both"/>
        <w:rPr>
          <w:rFonts w:ascii="Times New Roman" w:hAnsi="Times New Roman"/>
          <w:color w:val="231F20"/>
          <w:spacing w:val="1"/>
          <w:sz w:val="24"/>
          <w:szCs w:val="24"/>
          <w:lang w:val="az-Latn-AZ"/>
        </w:rPr>
      </w:pPr>
    </w:p>
    <w:p w:rsidR="006D28FF" w:rsidRPr="009C2EF2" w:rsidRDefault="006D28FF" w:rsidP="006D28FF">
      <w:pPr>
        <w:pStyle w:val="a3"/>
        <w:kinsoku w:val="0"/>
        <w:overflowPunct w:val="0"/>
        <w:spacing w:line="250" w:lineRule="auto"/>
        <w:ind w:left="0" w:right="3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BQS-nin məqsədi şəffaf və düzgün qiymətləndirmə praktikasını yaratmaqla qiymətləndirmə xidmətləri istifadəçilərinin inam və etimadını yüksəltməkdir. Standartda aşağıdakılardan bir və ya bir neçəsi nəzərdə tutulmalıdır:</w:t>
      </w:r>
    </w:p>
    <w:p w:rsidR="006D28FF" w:rsidRPr="009C2EF2" w:rsidRDefault="006D28FF" w:rsidP="006D28FF">
      <w:pPr>
        <w:pStyle w:val="a3"/>
        <w:kinsoku w:val="0"/>
        <w:overflowPunct w:val="0"/>
        <w:spacing w:before="9"/>
        <w:ind w:left="0"/>
        <w:jc w:val="both"/>
        <w:rPr>
          <w:rFonts w:ascii="Times New Roman" w:hAnsi="Times New Roman"/>
          <w:sz w:val="24"/>
          <w:szCs w:val="24"/>
          <w:lang w:val="az-Latn-AZ"/>
        </w:rPr>
      </w:pPr>
    </w:p>
    <w:p w:rsidR="006D28FF" w:rsidRPr="009C2EF2" w:rsidRDefault="006D28FF" w:rsidP="006D28FF">
      <w:pPr>
        <w:pStyle w:val="a3"/>
        <w:numPr>
          <w:ilvl w:val="0"/>
          <w:numId w:val="120"/>
        </w:numPr>
        <w:tabs>
          <w:tab w:val="left" w:pos="142"/>
        </w:tabs>
        <w:kinsoku w:val="0"/>
        <w:overflowPunct w:val="0"/>
        <w:ind w:left="0" w:right="31"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dünya miqyasında qəbul olunmuş prinsip və anlayışları müəyyən etməli və ya </w:t>
      </w:r>
    </w:p>
    <w:p w:rsidR="006D28FF" w:rsidRPr="009C2EF2" w:rsidRDefault="006D28FF" w:rsidP="006D28FF">
      <w:pPr>
        <w:pStyle w:val="a3"/>
        <w:tabs>
          <w:tab w:val="left" w:pos="567"/>
        </w:tabs>
        <w:kinsoku w:val="0"/>
        <w:overflowPunct w:val="0"/>
        <w:ind w:left="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inkişaf etdirməlidir,</w:t>
      </w:r>
    </w:p>
    <w:p w:rsidR="006D28FF" w:rsidRPr="009C2EF2" w:rsidRDefault="006D28FF" w:rsidP="006D28FF">
      <w:pPr>
        <w:pStyle w:val="a3"/>
        <w:kinsoku w:val="0"/>
        <w:overflowPunct w:val="0"/>
        <w:spacing w:before="7"/>
        <w:ind w:left="0"/>
        <w:jc w:val="both"/>
        <w:rPr>
          <w:rFonts w:ascii="Times New Roman" w:hAnsi="Times New Roman"/>
          <w:sz w:val="24"/>
          <w:szCs w:val="24"/>
          <w:lang w:val="az-Latn-AZ"/>
        </w:rPr>
      </w:pPr>
    </w:p>
    <w:p w:rsidR="006D28FF" w:rsidRPr="009C2EF2" w:rsidRDefault="006D28FF" w:rsidP="006D28FF">
      <w:pPr>
        <w:pStyle w:val="a3"/>
        <w:numPr>
          <w:ilvl w:val="0"/>
          <w:numId w:val="120"/>
        </w:numPr>
        <w:tabs>
          <w:tab w:val="left" w:pos="142"/>
        </w:tabs>
        <w:kinsoku w:val="0"/>
        <w:overflowPunct w:val="0"/>
        <w:spacing w:line="250" w:lineRule="auto"/>
        <w:ind w:left="0" w:right="173"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tapşırıqlarının icrası və qiymətləndirmə hesabatlarının verilməsi ilə bağlı əsas amilləri müəyyən etməli və göstərməlidir,</w:t>
      </w:r>
    </w:p>
    <w:p w:rsidR="006D28FF" w:rsidRPr="009C2EF2" w:rsidRDefault="006D28FF" w:rsidP="006D28FF">
      <w:pPr>
        <w:pStyle w:val="a3"/>
        <w:kinsoku w:val="0"/>
        <w:overflowPunct w:val="0"/>
        <w:spacing w:before="9"/>
        <w:ind w:left="0"/>
        <w:jc w:val="both"/>
        <w:rPr>
          <w:rFonts w:ascii="Times New Roman" w:hAnsi="Times New Roman"/>
          <w:sz w:val="24"/>
          <w:szCs w:val="24"/>
          <w:lang w:val="az-Latn-AZ"/>
        </w:rPr>
      </w:pPr>
    </w:p>
    <w:p w:rsidR="006D28FF" w:rsidRPr="009C2EF2" w:rsidRDefault="006D28FF" w:rsidP="006D28FF">
      <w:pPr>
        <w:pStyle w:val="a3"/>
        <w:numPr>
          <w:ilvl w:val="0"/>
          <w:numId w:val="120"/>
        </w:numPr>
        <w:tabs>
          <w:tab w:val="left" w:pos="426"/>
        </w:tabs>
        <w:kinsoku w:val="0"/>
        <w:overflowPunct w:val="0"/>
        <w:spacing w:line="250" w:lineRule="auto"/>
        <w:ind w:left="0" w:right="31" w:firstLine="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və ya passivlərin qiymətləndirilməsi zamanı istifadə olunan metodları və nəzərə alınması vacib olan konkret məsələləri müəyyən etməlidir.</w:t>
      </w:r>
    </w:p>
    <w:p w:rsidR="006D28FF" w:rsidRDefault="006D28FF" w:rsidP="006D28FF">
      <w:pPr>
        <w:pStyle w:val="a3"/>
        <w:tabs>
          <w:tab w:val="left" w:pos="284"/>
        </w:tabs>
        <w:kinsoku w:val="0"/>
        <w:overflowPunct w:val="0"/>
        <w:spacing w:line="250" w:lineRule="auto"/>
        <w:ind w:left="0" w:right="31"/>
        <w:jc w:val="both"/>
        <w:rPr>
          <w:rFonts w:ascii="Times New Roman" w:hAnsi="Times New Roman"/>
          <w:color w:val="000000"/>
          <w:sz w:val="24"/>
          <w:szCs w:val="24"/>
          <w:lang w:val="az-Latn-AZ"/>
        </w:rPr>
      </w:pPr>
    </w:p>
    <w:p w:rsidR="00242B9F" w:rsidRPr="009C2EF2" w:rsidRDefault="00242B9F" w:rsidP="00242B9F">
      <w:pPr>
        <w:pStyle w:val="a3"/>
        <w:tabs>
          <w:tab w:val="left" w:pos="4962"/>
          <w:tab w:val="left" w:pos="6663"/>
        </w:tabs>
        <w:kinsoku w:val="0"/>
        <w:overflowPunct w:val="0"/>
        <w:spacing w:before="77" w:line="250" w:lineRule="auto"/>
        <w:ind w:left="0" w:right="3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qiymətləndirmənin BQS-ə uyğun aparıldığını göstərmək üçün əməl olunması </w:t>
      </w:r>
      <w:r w:rsidRPr="009C2EF2">
        <w:rPr>
          <w:rFonts w:ascii="Times New Roman" w:hAnsi="Times New Roman"/>
          <w:i/>
          <w:color w:val="231F20"/>
          <w:sz w:val="24"/>
          <w:szCs w:val="24"/>
          <w:lang w:val="az-Latn-AZ"/>
        </w:rPr>
        <w:t xml:space="preserve">vacib </w:t>
      </w:r>
      <w:r w:rsidRPr="009C2EF2">
        <w:rPr>
          <w:rFonts w:ascii="Times New Roman" w:hAnsi="Times New Roman"/>
          <w:color w:val="231F20"/>
          <w:sz w:val="24"/>
          <w:szCs w:val="24"/>
          <w:lang w:val="az-Latn-AZ"/>
        </w:rPr>
        <w:t xml:space="preserve">olan icbari tələblərdən ibarətdir. Standartların müəyyən aspektlərinin xüsusi fəaliyyət planının idarə olunmasında və ya istiqamətləndirilməsində iştirak etməməsinə baxmayaraq həmin aspektlər qiymətləndirmə zamanı nəzərə alınması </w:t>
      </w:r>
      <w:r w:rsidRPr="009C2EF2">
        <w:rPr>
          <w:rFonts w:ascii="Times New Roman" w:hAnsi="Times New Roman"/>
          <w:i/>
          <w:color w:val="231F20"/>
          <w:sz w:val="24"/>
          <w:szCs w:val="24"/>
          <w:lang w:val="az-Latn-AZ"/>
        </w:rPr>
        <w:t xml:space="preserve">vacib olan </w:t>
      </w:r>
      <w:r w:rsidRPr="009C2EF2">
        <w:rPr>
          <w:rFonts w:ascii="Times New Roman" w:hAnsi="Times New Roman"/>
          <w:color w:val="231F20"/>
          <w:sz w:val="24"/>
          <w:szCs w:val="24"/>
          <w:lang w:val="az-Latn-AZ"/>
        </w:rPr>
        <w:t xml:space="preserve"> əsas prinsip və anlayışları təmin edir.</w:t>
      </w:r>
    </w:p>
    <w:p w:rsidR="00242B9F" w:rsidRDefault="00242B9F" w:rsidP="006D28FF">
      <w:pPr>
        <w:pStyle w:val="a3"/>
        <w:tabs>
          <w:tab w:val="left" w:pos="284"/>
        </w:tabs>
        <w:kinsoku w:val="0"/>
        <w:overflowPunct w:val="0"/>
        <w:spacing w:line="250" w:lineRule="auto"/>
        <w:ind w:left="0" w:right="31"/>
        <w:jc w:val="both"/>
        <w:rPr>
          <w:rFonts w:ascii="Times New Roman" w:hAnsi="Times New Roman"/>
          <w:color w:val="000000"/>
          <w:sz w:val="24"/>
          <w:szCs w:val="24"/>
          <w:lang w:val="az-Latn-AZ"/>
        </w:rPr>
      </w:pPr>
    </w:p>
    <w:p w:rsidR="00281851" w:rsidRPr="009C2EF2" w:rsidRDefault="00281851" w:rsidP="00281851">
      <w:pPr>
        <w:pStyle w:val="a3"/>
        <w:kinsoku w:val="0"/>
        <w:overflowPunct w:val="0"/>
        <w:ind w:left="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aşağıdakı </w:t>
      </w:r>
      <w:r>
        <w:rPr>
          <w:rFonts w:ascii="Times New Roman" w:hAnsi="Times New Roman"/>
          <w:color w:val="231F20"/>
          <w:sz w:val="24"/>
          <w:szCs w:val="24"/>
          <w:lang w:val="az-Latn-AZ"/>
        </w:rPr>
        <w:t>struktura malikdir</w:t>
      </w:r>
      <w:r w:rsidRPr="009C2EF2">
        <w:rPr>
          <w:rFonts w:ascii="Times New Roman" w:hAnsi="Times New Roman"/>
          <w:color w:val="231F20"/>
          <w:sz w:val="24"/>
          <w:szCs w:val="24"/>
          <w:lang w:val="az-Latn-AZ"/>
        </w:rPr>
        <w:t>:</w:t>
      </w:r>
    </w:p>
    <w:p w:rsidR="00281851" w:rsidRPr="009C2EF2" w:rsidRDefault="00281851" w:rsidP="00281851">
      <w:pPr>
        <w:pStyle w:val="a3"/>
        <w:kinsoku w:val="0"/>
        <w:overflowPunct w:val="0"/>
        <w:spacing w:before="7"/>
        <w:ind w:left="0"/>
        <w:rPr>
          <w:rFonts w:ascii="Times New Roman" w:hAnsi="Times New Roman"/>
          <w:sz w:val="24"/>
          <w:szCs w:val="24"/>
          <w:lang w:val="az-Latn-AZ"/>
        </w:rPr>
      </w:pPr>
    </w:p>
    <w:p w:rsidR="00281851" w:rsidRPr="009C2EF2" w:rsidRDefault="00281851" w:rsidP="00281851">
      <w:pPr>
        <w:pStyle w:val="Heading51"/>
        <w:kinsoku w:val="0"/>
        <w:overflowPunct w:val="0"/>
        <w:ind w:left="0"/>
        <w:outlineLvl w:val="9"/>
        <w:rPr>
          <w:rFonts w:ascii="Times New Roman" w:hAnsi="Times New Roman"/>
          <w:b w:val="0"/>
          <w:i w:val="0"/>
          <w:color w:val="000000"/>
          <w:sz w:val="24"/>
          <w:szCs w:val="24"/>
          <w:lang w:val="az-Latn-AZ"/>
        </w:rPr>
      </w:pPr>
      <w:r w:rsidRPr="009C2EF2">
        <w:rPr>
          <w:rFonts w:ascii="Times New Roman" w:hAnsi="Times New Roman"/>
          <w:color w:val="231F20"/>
          <w:sz w:val="24"/>
          <w:szCs w:val="24"/>
          <w:lang w:val="az-Latn-AZ"/>
        </w:rPr>
        <w:t xml:space="preserve">BQS </w:t>
      </w:r>
      <w:r w:rsidR="003220A8">
        <w:rPr>
          <w:rFonts w:ascii="Times New Roman" w:hAnsi="Times New Roman"/>
          <w:color w:val="231F20"/>
          <w:sz w:val="24"/>
          <w:szCs w:val="24"/>
          <w:lang w:val="az-Latn-AZ"/>
        </w:rPr>
        <w:t>prinsipləri</w:t>
      </w:r>
    </w:p>
    <w:p w:rsidR="00281851" w:rsidRPr="009C2EF2" w:rsidRDefault="00281851" w:rsidP="00281851">
      <w:pPr>
        <w:pStyle w:val="a3"/>
        <w:kinsoku w:val="0"/>
        <w:overflowPunct w:val="0"/>
        <w:spacing w:before="122" w:line="250" w:lineRule="auto"/>
        <w:ind w:left="0" w:right="3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Bu BQS-in müqəddiməsini təşkil edir. BQS Çərçivəsi obyektivlik, mühakimə və səlahiyyət ilə, eləcə də, mümkün kənarlaşmalar ilə bağlı BQS-i rəhbər tutan qiymətləndiricilər üçün əsas prinsipləri müəyyən edir.</w:t>
      </w:r>
    </w:p>
    <w:p w:rsidR="00281851" w:rsidRPr="006D28FF" w:rsidRDefault="00281851" w:rsidP="006D28FF">
      <w:pPr>
        <w:pStyle w:val="a3"/>
        <w:tabs>
          <w:tab w:val="left" w:pos="284"/>
        </w:tabs>
        <w:kinsoku w:val="0"/>
        <w:overflowPunct w:val="0"/>
        <w:spacing w:line="250" w:lineRule="auto"/>
        <w:ind w:left="0" w:right="31"/>
        <w:jc w:val="both"/>
        <w:rPr>
          <w:rFonts w:ascii="Times New Roman" w:hAnsi="Times New Roman"/>
          <w:color w:val="000000"/>
          <w:sz w:val="24"/>
          <w:szCs w:val="24"/>
          <w:lang w:val="az-Latn-AZ"/>
        </w:rPr>
        <w:sectPr w:rsidR="00281851" w:rsidRPr="006D28FF" w:rsidSect="00C12F86">
          <w:pgSz w:w="8850" w:h="13270"/>
          <w:pgMar w:top="1240" w:right="1220" w:bottom="1134" w:left="1220" w:header="720" w:footer="720" w:gutter="0"/>
          <w:pgNumType w:start="1"/>
          <w:cols w:space="720" w:equalWidth="0">
            <w:col w:w="6410"/>
          </w:cols>
        </w:sectPr>
      </w:pPr>
    </w:p>
    <w:p w:rsidR="00D02DD9" w:rsidRPr="009C2EF2" w:rsidRDefault="00D02DD9">
      <w:pPr>
        <w:pStyle w:val="a3"/>
        <w:kinsoku w:val="0"/>
        <w:overflowPunct w:val="0"/>
        <w:ind w:left="0"/>
        <w:rPr>
          <w:rFonts w:ascii="Times New Roman" w:hAnsi="Times New Roman"/>
          <w:sz w:val="24"/>
          <w:szCs w:val="24"/>
          <w:lang w:val="az-Latn-AZ"/>
        </w:rPr>
      </w:pPr>
    </w:p>
    <w:p w:rsidR="0072444D" w:rsidRPr="009C2EF2" w:rsidRDefault="0072444D" w:rsidP="003220A8">
      <w:pPr>
        <w:pStyle w:val="Heading51"/>
        <w:kinsoku w:val="0"/>
        <w:overflowPunct w:val="0"/>
        <w:ind w:left="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 xml:space="preserve">BQS </w:t>
      </w:r>
      <w:r w:rsidR="003220A8">
        <w:rPr>
          <w:rFonts w:ascii="Times New Roman" w:hAnsi="Times New Roman"/>
          <w:color w:val="231F20"/>
          <w:spacing w:val="1"/>
          <w:sz w:val="24"/>
          <w:szCs w:val="24"/>
          <w:lang w:val="az-Latn-AZ"/>
        </w:rPr>
        <w:t xml:space="preserve">Ümumi </w:t>
      </w:r>
      <w:r w:rsidRPr="009C2EF2">
        <w:rPr>
          <w:rFonts w:ascii="Times New Roman" w:hAnsi="Times New Roman"/>
          <w:color w:val="231F20"/>
          <w:spacing w:val="1"/>
          <w:sz w:val="24"/>
          <w:szCs w:val="24"/>
          <w:lang w:val="az-Latn-AZ"/>
        </w:rPr>
        <w:t>Standartlar</w:t>
      </w:r>
      <w:r w:rsidR="003220A8">
        <w:rPr>
          <w:rFonts w:ascii="Times New Roman" w:hAnsi="Times New Roman"/>
          <w:color w:val="231F20"/>
          <w:spacing w:val="1"/>
          <w:sz w:val="24"/>
          <w:szCs w:val="24"/>
          <w:lang w:val="az-Latn-AZ"/>
        </w:rPr>
        <w:t>ı</w:t>
      </w:r>
    </w:p>
    <w:p w:rsidR="003220A8" w:rsidRPr="009C2EF2" w:rsidRDefault="0072444D" w:rsidP="003220A8">
      <w:pPr>
        <w:pStyle w:val="a3"/>
        <w:tabs>
          <w:tab w:val="left" w:pos="6804"/>
        </w:tabs>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Bunlar qiymətləndirmə işinin şərtlərinin, dəyər bazalarının, qiymətləndirmə yanaşmaları və metodlarının tərtibi, eləcə də, hesabatların hazırlanması daxil olmaqla bütün qiymətləndirmə</w:t>
      </w:r>
      <w:r w:rsidR="003220A8" w:rsidRPr="003220A8">
        <w:rPr>
          <w:rFonts w:ascii="Times New Roman" w:hAnsi="Times New Roman"/>
          <w:color w:val="231F20"/>
          <w:sz w:val="24"/>
          <w:szCs w:val="24"/>
          <w:lang w:val="az-Latn-AZ"/>
        </w:rPr>
        <w:t xml:space="preserve"> </w:t>
      </w:r>
      <w:r w:rsidR="003220A8" w:rsidRPr="009C2EF2">
        <w:rPr>
          <w:rFonts w:ascii="Times New Roman" w:hAnsi="Times New Roman"/>
          <w:color w:val="231F20"/>
          <w:sz w:val="24"/>
          <w:szCs w:val="24"/>
          <w:lang w:val="az-Latn-AZ"/>
        </w:rPr>
        <w:t xml:space="preserve">tapşırıqlarının aparılmasına dair tələbləri müəyyən edir. Standartlar hər növ </w:t>
      </w:r>
      <w:r w:rsidR="003220A8" w:rsidRPr="009C2EF2">
        <w:rPr>
          <w:rFonts w:ascii="Times New Roman" w:hAnsi="Times New Roman"/>
          <w:i/>
          <w:color w:val="231F20"/>
          <w:sz w:val="24"/>
          <w:szCs w:val="24"/>
          <w:lang w:val="az-Latn-AZ"/>
        </w:rPr>
        <w:t xml:space="preserve">aktivlərin </w:t>
      </w:r>
      <w:r w:rsidR="003220A8" w:rsidRPr="009C2EF2">
        <w:rPr>
          <w:rFonts w:ascii="Times New Roman" w:hAnsi="Times New Roman"/>
          <w:color w:val="231F20"/>
          <w:sz w:val="24"/>
          <w:szCs w:val="24"/>
          <w:lang w:val="az-Latn-AZ"/>
        </w:rPr>
        <w:t xml:space="preserve">qiymətləndirilməsinə və </w:t>
      </w:r>
      <w:r w:rsidR="003220A8" w:rsidRPr="009C2EF2">
        <w:rPr>
          <w:rFonts w:ascii="Times New Roman" w:hAnsi="Times New Roman"/>
          <w:i/>
          <w:color w:val="231F20"/>
          <w:sz w:val="24"/>
          <w:szCs w:val="24"/>
          <w:lang w:val="az-Latn-AZ"/>
        </w:rPr>
        <w:t>qiymətləndirmə məqsədinə</w:t>
      </w:r>
      <w:r w:rsidR="003220A8" w:rsidRPr="009C2EF2">
        <w:rPr>
          <w:rFonts w:ascii="Times New Roman" w:hAnsi="Times New Roman"/>
          <w:color w:val="231F20"/>
          <w:sz w:val="24"/>
          <w:szCs w:val="24"/>
          <w:lang w:val="az-Latn-AZ"/>
        </w:rPr>
        <w:t xml:space="preserve"> uyğun olaraq tərtib olunmuşdur.</w:t>
      </w:r>
    </w:p>
    <w:p w:rsidR="003220A8" w:rsidRPr="009C2EF2" w:rsidRDefault="003220A8" w:rsidP="003220A8">
      <w:pPr>
        <w:pStyle w:val="a3"/>
        <w:kinsoku w:val="0"/>
        <w:overflowPunct w:val="0"/>
        <w:spacing w:before="9"/>
        <w:ind w:left="0"/>
        <w:rPr>
          <w:rFonts w:ascii="Times New Roman" w:hAnsi="Times New Roman"/>
          <w:sz w:val="24"/>
          <w:szCs w:val="24"/>
          <w:lang w:val="az-Latn-AZ"/>
        </w:rPr>
      </w:pPr>
    </w:p>
    <w:p w:rsidR="003220A8" w:rsidRPr="009C2EF2" w:rsidRDefault="003220A8" w:rsidP="003220A8">
      <w:pPr>
        <w:pStyle w:val="Heading51"/>
        <w:kinsoku w:val="0"/>
        <w:overflowPunct w:val="0"/>
        <w:ind w:left="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BQS Aktivlər</w:t>
      </w:r>
      <w:r>
        <w:rPr>
          <w:rFonts w:ascii="Times New Roman" w:hAnsi="Times New Roman"/>
          <w:color w:val="231F20"/>
          <w:spacing w:val="1"/>
          <w:sz w:val="24"/>
          <w:szCs w:val="24"/>
          <w:lang w:val="az-Latn-AZ"/>
        </w:rPr>
        <w:t>in qiymətləndirilməsi</w:t>
      </w:r>
      <w:r w:rsidRPr="009C2EF2">
        <w:rPr>
          <w:rFonts w:ascii="Times New Roman" w:hAnsi="Times New Roman"/>
          <w:color w:val="231F20"/>
          <w:spacing w:val="1"/>
          <w:sz w:val="24"/>
          <w:szCs w:val="24"/>
          <w:lang w:val="az-Latn-AZ"/>
        </w:rPr>
        <w:t xml:space="preserve"> üzrə Standartlar</w:t>
      </w:r>
    </w:p>
    <w:p w:rsidR="003220A8" w:rsidRPr="009C2EF2" w:rsidRDefault="003220A8" w:rsidP="003220A8">
      <w:pPr>
        <w:pStyle w:val="a3"/>
        <w:tabs>
          <w:tab w:val="left" w:pos="6663"/>
          <w:tab w:val="left" w:pos="6804"/>
        </w:tabs>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779584" behindDoc="0" locked="0" layoutInCell="0" allowOverlap="1" wp14:anchorId="373E0F22" wp14:editId="62D749C4">
                <wp:simplePos x="0" y="0"/>
                <wp:positionH relativeFrom="page">
                  <wp:posOffset>156845</wp:posOffset>
                </wp:positionH>
                <wp:positionV relativeFrom="paragraph">
                  <wp:posOffset>548005</wp:posOffset>
                </wp:positionV>
                <wp:extent cx="152400" cy="767080"/>
                <wp:effectExtent l="0" t="0" r="0" b="0"/>
                <wp:wrapNone/>
                <wp:docPr id="2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0A8" w:rsidRDefault="003220A8" w:rsidP="003220A8">
                            <w:pPr>
                              <w:pStyle w:val="a3"/>
                              <w:kinsoku w:val="0"/>
                              <w:overflowPunct w:val="0"/>
                              <w:spacing w:line="224" w:lineRule="exact"/>
                              <w:ind w:left="20"/>
                              <w:rPr>
                                <w:color w:val="000000"/>
                                <w:sz w:val="20"/>
                                <w:szCs w:val="24"/>
                              </w:rPr>
                            </w:pPr>
                            <w:r>
                              <w:rPr>
                                <w:b/>
                                <w:color w:val="FFFFFF"/>
                                <w:spacing w:val="-1"/>
                                <w:w w:val="99"/>
                                <w:sz w:val="20"/>
                                <w:szCs w:val="24"/>
                                <w:lang w:val="az-Latn-AZ"/>
                              </w:rPr>
                              <w:t>Giriş</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0F22" id="Text Box 21" o:spid="_x0000_s1038" type="#_x0000_t202" style="position:absolute;left:0;text-align:left;margin-left:12.35pt;margin-top:43.15pt;width:12pt;height:60.4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" o:allowincell="f" filled="f" stroked="f">
                <v:textbox style="layout-flow:vertical;mso-layout-flow-alt:bottom-to-top" inset="0,0,0,0">
                  <w:txbxContent>
                    <w:p w:rsidR="003220A8" w:rsidRDefault="003220A8" w:rsidP="003220A8">
                      <w:pPr>
                        <w:pStyle w:val="a3"/>
                        <w:kinsoku w:val="0"/>
                        <w:overflowPunct w:val="0"/>
                        <w:spacing w:line="224" w:lineRule="exact"/>
                        <w:ind w:left="20"/>
                        <w:rPr>
                          <w:color w:val="000000"/>
                          <w:sz w:val="20"/>
                          <w:szCs w:val="24"/>
                        </w:rPr>
                      </w:pPr>
                      <w:r>
                        <w:rPr>
                          <w:b/>
                          <w:color w:val="FFFFFF"/>
                          <w:spacing w:val="-1"/>
                          <w:w w:val="99"/>
                          <w:sz w:val="20"/>
                          <w:szCs w:val="24"/>
                          <w:lang w:val="az-Latn-AZ"/>
                        </w:rPr>
                        <w:t>Giriş</w:t>
                      </w:r>
                    </w:p>
                  </w:txbxContent>
                </v:textbox>
                <w10:wrap anchorx="page"/>
              </v:shape>
            </w:pict>
          </mc:Fallback>
        </mc:AlternateConten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Standartlara </w:t>
      </w:r>
      <w:r w:rsidRPr="009C2EF2">
        <w:rPr>
          <w:rFonts w:ascii="Times New Roman" w:hAnsi="Times New Roman"/>
          <w:i/>
          <w:color w:val="231F20"/>
          <w:spacing w:val="-1"/>
          <w:sz w:val="24"/>
          <w:szCs w:val="24"/>
          <w:lang w:val="az-Latn-AZ"/>
        </w:rPr>
        <w:t>aktivlərin</w:t>
      </w:r>
      <w:r w:rsidRPr="009C2EF2">
        <w:rPr>
          <w:rFonts w:ascii="Times New Roman" w:hAnsi="Times New Roman"/>
          <w:color w:val="231F20"/>
          <w:sz w:val="24"/>
          <w:szCs w:val="24"/>
          <w:lang w:val="az-Latn-AZ"/>
        </w:rPr>
        <w:t xml:space="preserve"> müəyyən növlərinə aid tələblər daxildir. Bəzi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qiymətləndirilməsi zamanı Əsas Standartlarla bərabər bu tələblərə də riayət </w:t>
      </w:r>
      <w:r w:rsidRPr="009C2EF2">
        <w:rPr>
          <w:rFonts w:ascii="Times New Roman" w:hAnsi="Times New Roman"/>
          <w:i/>
          <w:color w:val="231F20"/>
          <w:sz w:val="24"/>
          <w:szCs w:val="24"/>
          <w:lang w:val="az-Latn-AZ"/>
        </w:rPr>
        <w:t>olunmalıdır</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Standartlara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növlərinin dəyərə təsir edən xüsusiyyətləri haqqında əsas məlumatlar və ən çox tətbiq olunan qiymətləndirmə yanaşmaları və metodları üzrə </w:t>
      </w:r>
      <w:r w:rsidRPr="009C2EF2">
        <w:rPr>
          <w:rFonts w:ascii="Times New Roman" w:hAnsi="Times New Roman"/>
          <w:i/>
          <w:color w:val="231F20"/>
          <w:spacing w:val="1"/>
          <w:sz w:val="24"/>
          <w:szCs w:val="24"/>
          <w:lang w:val="az-Latn-AZ"/>
        </w:rPr>
        <w:t>aktiv</w:t>
      </w:r>
      <w:r w:rsidRPr="009C2EF2">
        <w:rPr>
          <w:rFonts w:ascii="Times New Roman" w:hAnsi="Times New Roman"/>
          <w:color w:val="231F20"/>
          <w:sz w:val="24"/>
          <w:szCs w:val="24"/>
          <w:lang w:val="az-Latn-AZ"/>
        </w:rPr>
        <w:t xml:space="preserve"> ilə bağlı əlavə tələblər daxildir.</w:t>
      </w:r>
    </w:p>
    <w:p w:rsidR="003220A8" w:rsidRPr="009C2EF2" w:rsidRDefault="003220A8" w:rsidP="003220A8">
      <w:pPr>
        <w:pStyle w:val="a3"/>
        <w:kinsoku w:val="0"/>
        <w:overflowPunct w:val="0"/>
        <w:spacing w:before="9"/>
        <w:ind w:left="0"/>
        <w:rPr>
          <w:rFonts w:ascii="Times New Roman" w:hAnsi="Times New Roman"/>
          <w:sz w:val="24"/>
          <w:szCs w:val="24"/>
          <w:lang w:val="az-Latn-AZ"/>
        </w:rPr>
      </w:pPr>
    </w:p>
    <w:p w:rsidR="003220A8" w:rsidRPr="009C2EF2" w:rsidRDefault="003220A8" w:rsidP="003220A8">
      <w:pPr>
        <w:pStyle w:val="a3"/>
        <w:kinsoku w:val="0"/>
        <w:overflowPunct w:val="0"/>
        <w:ind w:left="0"/>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Bu kitaba nələr daxildir?</w:t>
      </w:r>
    </w:p>
    <w:p w:rsidR="003220A8" w:rsidRPr="009C2EF2" w:rsidRDefault="003220A8" w:rsidP="003220A8">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kitaba 15 dekabr, 2016-cı ildə BQSŞ Standartları Komitəsi tərəfindən təsdiqlənmiş və </w:t>
      </w:r>
      <w:r w:rsidRPr="009C2EF2">
        <w:rPr>
          <w:rFonts w:ascii="Times New Roman" w:hAnsi="Times New Roman"/>
          <w:b/>
          <w:color w:val="231F20"/>
          <w:sz w:val="24"/>
          <w:szCs w:val="24"/>
          <w:lang w:val="az-Latn-AZ"/>
        </w:rPr>
        <w:t>1 iyul, 2017-ci il</w:t>
      </w:r>
      <w:r w:rsidRPr="009C2EF2">
        <w:rPr>
          <w:rFonts w:ascii="Times New Roman" w:hAnsi="Times New Roman"/>
          <w:color w:val="231F20"/>
          <w:sz w:val="24"/>
          <w:szCs w:val="24"/>
          <w:lang w:val="az-Latn-AZ"/>
        </w:rPr>
        <w:t xml:space="preserve"> tarixində qüvvəyə minmiş BQS Çərçivəsi, BQS Əsas Standartlar və BQS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üzrə Standartlar daxildir. Bu standartların erkən tətbiqinə icazə verilir.</w:t>
      </w:r>
    </w:p>
    <w:p w:rsidR="00D02DD9" w:rsidRPr="009C2EF2" w:rsidRDefault="00D02DD9" w:rsidP="0072444D">
      <w:pPr>
        <w:pStyle w:val="a3"/>
        <w:kinsoku w:val="0"/>
        <w:overflowPunct w:val="0"/>
        <w:ind w:left="0" w:right="1167"/>
        <w:jc w:val="both"/>
        <w:rPr>
          <w:rFonts w:ascii="Times New Roman" w:hAnsi="Times New Roman"/>
          <w:sz w:val="24"/>
          <w:szCs w:val="24"/>
          <w:lang w:val="az-Latn-AZ"/>
        </w:rPr>
      </w:pPr>
    </w:p>
    <w:p w:rsidR="00B85892" w:rsidRPr="009C2EF2" w:rsidRDefault="00B85892" w:rsidP="00B85892">
      <w:pPr>
        <w:pStyle w:val="Heading41"/>
        <w:kinsoku w:val="0"/>
        <w:overflowPunct w:val="0"/>
        <w:ind w:left="0" w:firstLine="0"/>
        <w:jc w:val="both"/>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Bu Standartlar üzrə ediləcək gələcək dəyişikliklər</w:t>
      </w:r>
    </w:p>
    <w:p w:rsidR="00B85892" w:rsidRPr="009C2EF2" w:rsidRDefault="00B85892" w:rsidP="00B85892">
      <w:pPr>
        <w:pStyle w:val="a3"/>
        <w:kinsoku w:val="0"/>
        <w:overflowPunct w:val="0"/>
        <w:spacing w:before="122" w:line="250" w:lineRule="auto"/>
        <w:ind w:left="0" w:right="1026"/>
        <w:jc w:val="both"/>
        <w:rPr>
          <w:rFonts w:ascii="Times New Roman" w:hAnsi="Times New Roman"/>
          <w:sz w:val="24"/>
          <w:szCs w:val="24"/>
          <w:lang w:val="az-Latn-AZ"/>
        </w:rPr>
      </w:pPr>
      <w:r w:rsidRPr="009C2EF2">
        <w:rPr>
          <w:rFonts w:ascii="Times New Roman" w:hAnsi="Times New Roman"/>
          <w:color w:val="231F20"/>
          <w:sz w:val="24"/>
          <w:szCs w:val="24"/>
          <w:lang w:val="az-Latn-AZ"/>
        </w:rPr>
        <w:t xml:space="preserve">BQSŞ Standartları Komitəsi mütəmadi olaraq BQS-i nəzərdən keçirməyi və maraqlı tərəflərin tələblərinin, o cümlədən bazar tələblərinin ödənilməsi məqsədi ilə lazımi təqdirdə həmin standartları təkmilləşdirməyi və ya dəqiqləşdirməyi planlaşdırır. Komitə bu nəşrdə standartlarla bağlı dəyişikliklərin edilmə və ya yeni standartların əlavə olunma ehtimalı </w:t>
      </w:r>
      <w:r w:rsidRPr="009C2EF2">
        <w:rPr>
          <w:rFonts w:ascii="Times New Roman" w:hAnsi="Times New Roman"/>
          <w:i/>
          <w:color w:val="231F20"/>
          <w:spacing w:val="-1"/>
          <w:sz w:val="24"/>
          <w:szCs w:val="24"/>
          <w:lang w:val="az-Latn-AZ"/>
        </w:rPr>
        <w:t xml:space="preserve">olan </w:t>
      </w:r>
      <w:r w:rsidRPr="009C2EF2">
        <w:rPr>
          <w:rFonts w:ascii="Times New Roman" w:hAnsi="Times New Roman"/>
          <w:color w:val="231F20"/>
          <w:sz w:val="24"/>
          <w:szCs w:val="24"/>
          <w:lang w:val="az-Latn-AZ"/>
        </w:rPr>
        <w:t>layihələrə sahibdir. Mövcud layihələr, eləcə də, gözlənilən və ya təsdiq edilmiş dəyişikliklər barədə məlumatları BQSŞ-in internet səhifəsindən - www.ivsc.org - əldə edə bilərsiniz.</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pgSz w:w="8850" w:h="13270"/>
          <w:pgMar w:top="0" w:right="0" w:bottom="0" w:left="1020" w:header="720" w:footer="720" w:gutter="0"/>
          <w:cols w:space="720" w:equalWidth="0">
            <w:col w:w="7830"/>
          </w:cols>
        </w:sectPr>
      </w:pPr>
    </w:p>
    <w:p w:rsidR="00D02DD9" w:rsidRPr="009C2EF2" w:rsidRDefault="0075026C" w:rsidP="00C12F86">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432435" cy="8424545"/>
                <wp:effectExtent l="0" t="0" r="0" b="0"/>
                <wp:wrapNone/>
                <wp:docPr id="24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163624" id="Freeform 20" o:spid="_x0000_s1026" style="position:absolute;margin-left:0;margin-top:0;width:34.05pt;height:663.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" o:allowincell="f" path="m,13266r680,l680,,,,,13266xe" fillcolor="#231f20" stroked="f">
                <v:path arrowok="t" o:connecttype="custom" o:connectlocs="0,8423910;431800,8423910;431800,0;0,0;0,8423910" o:connectangles="0,0,0,0,0"/>
                <w10:wrap anchorx="page" anchory="page"/>
              </v:shape>
            </w:pict>
          </mc:Fallback>
        </mc:AlternateContent>
      </w:r>
    </w:p>
    <w:p w:rsidR="0072444D" w:rsidRDefault="0072444D">
      <w:pPr>
        <w:pStyle w:val="Heading11"/>
        <w:kinsoku w:val="0"/>
        <w:overflowPunct w:val="0"/>
        <w:outlineLvl w:val="9"/>
        <w:rPr>
          <w:rFonts w:ascii="Times New Roman" w:hAnsi="Times New Roman"/>
          <w:color w:val="231F20"/>
          <w:w w:val="95"/>
          <w:sz w:val="24"/>
          <w:szCs w:val="24"/>
          <w:lang w:val="az-Latn-AZ"/>
        </w:rPr>
      </w:pPr>
      <w:bookmarkStart w:id="1" w:name="bookmark1"/>
      <w:bookmarkEnd w:id="1"/>
    </w:p>
    <w:p w:rsidR="0072444D" w:rsidRDefault="0072444D">
      <w:pPr>
        <w:pStyle w:val="Heading11"/>
        <w:kinsoku w:val="0"/>
        <w:overflowPunct w:val="0"/>
        <w:outlineLvl w:val="9"/>
        <w:rPr>
          <w:rFonts w:ascii="Times New Roman" w:hAnsi="Times New Roman"/>
          <w:color w:val="231F20"/>
          <w:w w:val="95"/>
          <w:sz w:val="24"/>
          <w:szCs w:val="24"/>
          <w:lang w:val="az-Latn-AZ"/>
        </w:rPr>
      </w:pPr>
    </w:p>
    <w:p w:rsidR="00D02DD9" w:rsidRDefault="003C64E0">
      <w:pPr>
        <w:pStyle w:val="Heading11"/>
        <w:kinsoku w:val="0"/>
        <w:overflowPunct w:val="0"/>
        <w:outlineLvl w:val="9"/>
        <w:rPr>
          <w:rFonts w:ascii="Times New Roman" w:hAnsi="Times New Roman"/>
          <w:color w:val="231F20"/>
          <w:w w:val="95"/>
          <w:sz w:val="24"/>
          <w:szCs w:val="24"/>
          <w:lang w:val="az-Latn-AZ"/>
        </w:rPr>
      </w:pPr>
      <w:r w:rsidRPr="009C2EF2">
        <w:rPr>
          <w:rFonts w:ascii="Times New Roman" w:hAnsi="Times New Roman"/>
          <w:color w:val="231F20"/>
          <w:w w:val="95"/>
          <w:sz w:val="24"/>
          <w:szCs w:val="24"/>
          <w:lang w:val="az-Latn-AZ"/>
        </w:rPr>
        <w:t>Lüğət</w:t>
      </w:r>
    </w:p>
    <w:p w:rsidR="00C12F86" w:rsidRPr="009C2EF2" w:rsidRDefault="00C12F86">
      <w:pPr>
        <w:pStyle w:val="Heading11"/>
        <w:kinsoku w:val="0"/>
        <w:overflowPunct w:val="0"/>
        <w:outlineLvl w:val="9"/>
        <w:rPr>
          <w:rFonts w:ascii="Times New Roman" w:hAnsi="Times New Roman"/>
          <w:b w:val="0"/>
          <w:color w:val="000000"/>
          <w:sz w:val="24"/>
          <w:szCs w:val="24"/>
          <w:lang w:val="az-Latn-AZ"/>
        </w:rPr>
      </w:pPr>
    </w:p>
    <w:p w:rsidR="00C12F86" w:rsidRPr="009C2EF2" w:rsidRDefault="00C12F86" w:rsidP="00C12F86">
      <w:pPr>
        <w:pStyle w:val="Heading41"/>
        <w:numPr>
          <w:ilvl w:val="0"/>
          <w:numId w:val="119"/>
        </w:numPr>
        <w:tabs>
          <w:tab w:val="left" w:pos="426"/>
        </w:tabs>
        <w:kinsoku w:val="0"/>
        <w:overflowPunct w:val="0"/>
        <w:spacing w:before="77"/>
        <w:ind w:hanging="68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Lüğət haqqında Ümumi Məlumat</w:t>
      </w:r>
    </w:p>
    <w:p w:rsidR="00C12F86" w:rsidRPr="009C2EF2" w:rsidRDefault="00C12F86" w:rsidP="00C12F86">
      <w:pPr>
        <w:pStyle w:val="a3"/>
        <w:numPr>
          <w:ilvl w:val="1"/>
          <w:numId w:val="119"/>
        </w:numPr>
        <w:tabs>
          <w:tab w:val="left" w:pos="426"/>
        </w:tabs>
        <w:kinsoku w:val="0"/>
        <w:overflowPunct w:val="0"/>
        <w:spacing w:before="122" w:line="250" w:lineRule="auto"/>
        <w:ind w:left="284" w:right="1026" w:hanging="28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Bu lüğət Beynəlxalq Qiymətləndirmə Standartlarında istifadə olunan terminlərin izahını verir.</w:t>
      </w:r>
    </w:p>
    <w:p w:rsidR="00C12F86" w:rsidRPr="009C2EF2" w:rsidRDefault="00C12F86" w:rsidP="00C12F86">
      <w:pPr>
        <w:pStyle w:val="a3"/>
        <w:kinsoku w:val="0"/>
        <w:overflowPunct w:val="0"/>
        <w:spacing w:before="9"/>
        <w:ind w:left="0"/>
        <w:rPr>
          <w:rFonts w:ascii="Times New Roman" w:hAnsi="Times New Roman"/>
          <w:sz w:val="24"/>
          <w:szCs w:val="24"/>
          <w:lang w:val="az-Latn-AZ"/>
        </w:rPr>
      </w:pPr>
    </w:p>
    <w:p w:rsidR="00C12F86" w:rsidRPr="009C2EF2" w:rsidRDefault="00C12F86" w:rsidP="00C12F86">
      <w:pPr>
        <w:pStyle w:val="a3"/>
        <w:numPr>
          <w:ilvl w:val="1"/>
          <w:numId w:val="119"/>
        </w:numPr>
        <w:tabs>
          <w:tab w:val="left" w:pos="426"/>
        </w:tabs>
        <w:kinsoku w:val="0"/>
        <w:overflowPunct w:val="0"/>
        <w:spacing w:line="250" w:lineRule="auto"/>
        <w:ind w:left="284" w:right="1026" w:hanging="28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Qiymətləndiricilərin bu terminlər haqqında anlayışı olduğuna görə bu lüğətdə əsas qiymətləndirmə, uçot və ya maliyyə terminlərinin izahına geniş yer verilməyib ("</w:t>
      </w:r>
      <w:r w:rsidRPr="009C2EF2">
        <w:rPr>
          <w:rFonts w:ascii="Times New Roman" w:hAnsi="Times New Roman"/>
          <w:i/>
          <w:color w:val="231F20"/>
          <w:spacing w:val="1"/>
          <w:sz w:val="24"/>
          <w:szCs w:val="24"/>
          <w:lang w:val="az-Latn-AZ"/>
        </w:rPr>
        <w:t>qiymətləndiricinin</w:t>
      </w:r>
      <w:r w:rsidRPr="009C2EF2">
        <w:rPr>
          <w:rFonts w:ascii="Times New Roman" w:hAnsi="Times New Roman"/>
          <w:color w:val="231F20"/>
          <w:sz w:val="24"/>
          <w:szCs w:val="24"/>
          <w:lang w:val="az-Latn-AZ"/>
        </w:rPr>
        <w:t>" tərifinə baxın).</w:t>
      </w:r>
    </w:p>
    <w:p w:rsidR="00C12F86" w:rsidRPr="009C2EF2" w:rsidRDefault="00C12F86" w:rsidP="00C12F86">
      <w:pPr>
        <w:pStyle w:val="a3"/>
        <w:kinsoku w:val="0"/>
        <w:overflowPunct w:val="0"/>
        <w:spacing w:before="9"/>
        <w:ind w:left="0"/>
        <w:rPr>
          <w:rFonts w:ascii="Times New Roman" w:hAnsi="Times New Roman"/>
          <w:sz w:val="24"/>
          <w:szCs w:val="24"/>
          <w:lang w:val="az-Latn-AZ"/>
        </w:rPr>
      </w:pPr>
    </w:p>
    <w:p w:rsidR="00C12F86" w:rsidRPr="009C2EF2" w:rsidRDefault="00C12F86" w:rsidP="00C12F86">
      <w:pPr>
        <w:pStyle w:val="Heading41"/>
        <w:numPr>
          <w:ilvl w:val="0"/>
          <w:numId w:val="118"/>
        </w:numPr>
        <w:tabs>
          <w:tab w:val="left" w:pos="284"/>
        </w:tabs>
        <w:kinsoku w:val="0"/>
        <w:overflowPunct w:val="0"/>
        <w:ind w:left="284" w:hanging="284"/>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Terminlərin izahı</w:t>
      </w:r>
    </w:p>
    <w:p w:rsidR="00C12F86" w:rsidRPr="009C2EF2" w:rsidRDefault="00C12F86" w:rsidP="00C12F86">
      <w:pPr>
        <w:pStyle w:val="a3"/>
        <w:numPr>
          <w:ilvl w:val="1"/>
          <w:numId w:val="118"/>
        </w:numPr>
        <w:kinsoku w:val="0"/>
        <w:overflowPunct w:val="0"/>
        <w:spacing w:before="122"/>
        <w:ind w:left="426" w:hanging="426"/>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Aktiv və Aktivlər</w:t>
      </w:r>
    </w:p>
    <w:p w:rsidR="00C12F86" w:rsidRPr="009C2EF2" w:rsidRDefault="00C12F86" w:rsidP="00C12F86">
      <w:pPr>
        <w:pStyle w:val="a3"/>
        <w:kinsoku w:val="0"/>
        <w:overflowPunct w:val="0"/>
        <w:spacing w:before="122" w:line="250" w:lineRule="auto"/>
        <w:ind w:left="284" w:right="1026"/>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781632" behindDoc="0" locked="0" layoutInCell="0" allowOverlap="1" wp14:anchorId="22E3693E" wp14:editId="09492E2B">
                <wp:simplePos x="0" y="0"/>
                <wp:positionH relativeFrom="page">
                  <wp:posOffset>5306695</wp:posOffset>
                </wp:positionH>
                <wp:positionV relativeFrom="paragraph">
                  <wp:posOffset>638810</wp:posOffset>
                </wp:positionV>
                <wp:extent cx="152400" cy="573405"/>
                <wp:effectExtent l="0" t="0" r="0" b="0"/>
                <wp:wrapNone/>
                <wp:docPr id="2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F86" w:rsidRDefault="00C12F86" w:rsidP="00C12F86">
                            <w:pPr>
                              <w:pStyle w:val="a3"/>
                              <w:kinsoku w:val="0"/>
                              <w:overflowPunct w:val="0"/>
                              <w:spacing w:line="224" w:lineRule="exact"/>
                              <w:ind w:left="20"/>
                              <w:rPr>
                                <w:color w:val="000000"/>
                                <w:sz w:val="20"/>
                                <w:szCs w:val="24"/>
                              </w:rPr>
                            </w:pPr>
                            <w:r>
                              <w:rPr>
                                <w:b/>
                                <w:color w:val="FFFFFF"/>
                                <w:w w:val="99"/>
                                <w:sz w:val="20"/>
                                <w:szCs w:val="24"/>
                                <w:lang w:val="az-Latn-AZ"/>
                              </w:rPr>
                              <w:t>Lüğət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3693E" id="Text Box 23" o:spid="_x0000_s1039" type="#_x0000_t202" style="position:absolute;left:0;text-align:left;margin-left:417.85pt;margin-top:50.3pt;width:12pt;height:45.1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O8rgIAALI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" o:allowincell="f" filled="f" stroked="f">
                <v:textbox style="layout-flow:vertical" inset="0,0,0,0">
                  <w:txbxContent>
                    <w:p w:rsidR="00C12F86" w:rsidRDefault="00C12F86" w:rsidP="00C12F86">
                      <w:pPr>
                        <w:pStyle w:val="a3"/>
                        <w:kinsoku w:val="0"/>
                        <w:overflowPunct w:val="0"/>
                        <w:spacing w:line="224" w:lineRule="exact"/>
                        <w:ind w:left="20"/>
                        <w:rPr>
                          <w:color w:val="000000"/>
                          <w:sz w:val="20"/>
                          <w:szCs w:val="24"/>
                        </w:rPr>
                      </w:pPr>
                      <w:r>
                        <w:rPr>
                          <w:b/>
                          <w:color w:val="FFFFFF"/>
                          <w:w w:val="99"/>
                          <w:sz w:val="20"/>
                          <w:szCs w:val="24"/>
                          <w:lang w:val="az-Latn-AZ"/>
                        </w:rPr>
                        <w:t>Lüğət</w:t>
                      </w:r>
                    </w:p>
                  </w:txbxContent>
                </v:textbox>
                <w10:wrap anchorx="page"/>
              </v:shape>
            </w:pict>
          </mc:Fallback>
        </mc:AlternateContent>
      </w:r>
      <w:r w:rsidRPr="009C2EF2">
        <w:rPr>
          <w:rFonts w:ascii="Times New Roman" w:hAnsi="Times New Roman"/>
          <w:color w:val="231F20"/>
          <w:spacing w:val="-8"/>
          <w:sz w:val="24"/>
          <w:szCs w:val="24"/>
          <w:lang w:val="az-Latn-AZ"/>
        </w:rPr>
        <w:t>Standartların oxunaqlılığını asanlaşdırmaq və təkrarlanma hallarının qarşısını almaq məqsədi ilə istifadə olunan "</w:t>
      </w:r>
      <w:r w:rsidRPr="009C2EF2">
        <w:rPr>
          <w:rFonts w:ascii="Times New Roman" w:hAnsi="Times New Roman"/>
          <w:i/>
          <w:color w:val="231F20"/>
          <w:spacing w:val="1"/>
          <w:sz w:val="24"/>
          <w:szCs w:val="24"/>
          <w:lang w:val="az-Latn-AZ"/>
        </w:rPr>
        <w:t>aktiv</w:t>
      </w:r>
      <w:r w:rsidRPr="009C2EF2">
        <w:rPr>
          <w:rFonts w:ascii="Times New Roman" w:hAnsi="Times New Roman"/>
          <w:color w:val="231F20"/>
          <w:spacing w:val="-8"/>
          <w:sz w:val="24"/>
          <w:szCs w:val="24"/>
          <w:lang w:val="az-Latn-AZ"/>
        </w:rPr>
        <w:t>" və "</w:t>
      </w:r>
      <w:r w:rsidRPr="009C2EF2">
        <w:rPr>
          <w:rFonts w:ascii="Times New Roman" w:hAnsi="Times New Roman"/>
          <w:i/>
          <w:color w:val="231F20"/>
          <w:sz w:val="24"/>
          <w:szCs w:val="24"/>
          <w:lang w:val="az-Latn-AZ"/>
        </w:rPr>
        <w:t>aktivlər</w:t>
      </w:r>
      <w:r w:rsidRPr="009C2EF2">
        <w:rPr>
          <w:rFonts w:ascii="Times New Roman" w:hAnsi="Times New Roman"/>
          <w:color w:val="231F20"/>
          <w:spacing w:val="-8"/>
          <w:sz w:val="24"/>
          <w:szCs w:val="24"/>
          <w:lang w:val="az-Latn-AZ"/>
        </w:rPr>
        <w:t>" sözləri qiymətləndirmə işinin aparılacağı elementlərə istinad edir. Burada bu terminlər "</w:t>
      </w:r>
      <w:r w:rsidRPr="009C2EF2">
        <w:rPr>
          <w:rFonts w:ascii="Times New Roman" w:hAnsi="Times New Roman"/>
          <w:i/>
          <w:color w:val="231F20"/>
          <w:spacing w:val="-1"/>
          <w:sz w:val="24"/>
          <w:szCs w:val="24"/>
          <w:lang w:val="az-Latn-AZ"/>
        </w:rPr>
        <w:t>aktiv</w:t>
      </w:r>
      <w:r w:rsidRPr="009C2EF2">
        <w:rPr>
          <w:rFonts w:ascii="Times New Roman" w:hAnsi="Times New Roman"/>
          <w:color w:val="231F20"/>
          <w:spacing w:val="-8"/>
          <w:sz w:val="24"/>
          <w:szCs w:val="24"/>
          <w:lang w:val="az-Latn-AZ"/>
        </w:rPr>
        <w:t xml:space="preserve">,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pacing w:val="-8"/>
          <w:sz w:val="24"/>
          <w:szCs w:val="24"/>
          <w:lang w:val="az-Latn-AZ"/>
        </w:rPr>
        <w:t xml:space="preserve"> qrupu, passiv, passivlər qrupu və ya </w:t>
      </w:r>
      <w:r w:rsidRPr="009C2EF2">
        <w:rPr>
          <w:rFonts w:ascii="Times New Roman" w:hAnsi="Times New Roman"/>
          <w:i/>
          <w:color w:val="231F20"/>
          <w:sz w:val="24"/>
          <w:szCs w:val="24"/>
          <w:lang w:val="az-Latn-AZ"/>
        </w:rPr>
        <w:t>aktivlər</w:t>
      </w:r>
      <w:r w:rsidRPr="009C2EF2">
        <w:rPr>
          <w:rFonts w:ascii="Times New Roman" w:hAnsi="Times New Roman"/>
          <w:color w:val="231F20"/>
          <w:spacing w:val="-8"/>
          <w:sz w:val="24"/>
          <w:szCs w:val="24"/>
          <w:lang w:val="az-Latn-AZ"/>
        </w:rPr>
        <w:t xml:space="preserve"> və passivlər qrupu kimi ifadə oluna bilər".</w:t>
      </w:r>
    </w:p>
    <w:p w:rsidR="00C12F86" w:rsidRPr="009C2EF2" w:rsidRDefault="00C12F86" w:rsidP="00C12F86">
      <w:pPr>
        <w:pStyle w:val="a3"/>
        <w:kinsoku w:val="0"/>
        <w:overflowPunct w:val="0"/>
        <w:spacing w:before="9"/>
        <w:ind w:left="0"/>
        <w:rPr>
          <w:rFonts w:ascii="Times New Roman" w:hAnsi="Times New Roman"/>
          <w:sz w:val="24"/>
          <w:szCs w:val="24"/>
          <w:lang w:val="az-Latn-AZ"/>
        </w:rPr>
      </w:pPr>
    </w:p>
    <w:p w:rsidR="00C12F86" w:rsidRPr="009C2EF2" w:rsidRDefault="00C12F86" w:rsidP="00C12F86">
      <w:pPr>
        <w:pStyle w:val="Heading41"/>
        <w:numPr>
          <w:ilvl w:val="1"/>
          <w:numId w:val="118"/>
        </w:numPr>
        <w:tabs>
          <w:tab w:val="left" w:pos="426"/>
        </w:tabs>
        <w:kinsoku w:val="0"/>
        <w:overflowPunct w:val="0"/>
        <w:ind w:hanging="68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Müştəri</w:t>
      </w:r>
    </w:p>
    <w:p w:rsidR="00C12F86" w:rsidRPr="009C2EF2" w:rsidRDefault="00C12F86" w:rsidP="00C12F86">
      <w:pPr>
        <w:pStyle w:val="a3"/>
        <w:kinsoku w:val="0"/>
        <w:overflowPunct w:val="0"/>
        <w:spacing w:before="122" w:line="250" w:lineRule="auto"/>
        <w:ind w:left="284"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pacing w:val="1"/>
          <w:sz w:val="24"/>
          <w:szCs w:val="24"/>
          <w:lang w:val="az-Latn-AZ"/>
        </w:rPr>
        <w:t>Müştəri</w:t>
      </w:r>
      <w:r w:rsidRPr="009C2EF2">
        <w:rPr>
          <w:rFonts w:ascii="Times New Roman" w:hAnsi="Times New Roman"/>
          <w:color w:val="231F20"/>
          <w:sz w:val="24"/>
          <w:szCs w:val="24"/>
          <w:lang w:val="az-Latn-AZ"/>
        </w:rPr>
        <w:t xml:space="preserve">" anlayışı qiymətləndirmənin aparılacağı şəxsi, şəxsləri və ya müəssisəni nəzərdə tutur. Bura həm xarici </w:t>
      </w:r>
      <w:r w:rsidRPr="009C2EF2">
        <w:rPr>
          <w:rFonts w:ascii="Times New Roman" w:hAnsi="Times New Roman"/>
          <w:i/>
          <w:color w:val="231F20"/>
          <w:sz w:val="24"/>
          <w:szCs w:val="24"/>
          <w:lang w:val="az-Latn-AZ"/>
        </w:rPr>
        <w:t xml:space="preserve">müştərilər </w:t>
      </w:r>
      <w:r w:rsidRPr="009C2EF2">
        <w:rPr>
          <w:rFonts w:ascii="Times New Roman" w:hAnsi="Times New Roman"/>
          <w:color w:val="231F20"/>
          <w:sz w:val="24"/>
          <w:szCs w:val="24"/>
          <w:lang w:val="az-Latn-AZ"/>
        </w:rPr>
        <w:t xml:space="preserve">(məsələn,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məşğul olduğu üçüncü tərəf </w:t>
      </w:r>
      <w:r w:rsidRPr="009C2EF2">
        <w:rPr>
          <w:rFonts w:ascii="Times New Roman" w:hAnsi="Times New Roman"/>
          <w:i/>
          <w:color w:val="231F20"/>
          <w:spacing w:val="1"/>
          <w:sz w:val="24"/>
          <w:szCs w:val="24"/>
          <w:lang w:val="az-Latn-AZ"/>
        </w:rPr>
        <w:t>müştəri</w:t>
      </w:r>
      <w:r w:rsidRPr="009C2EF2">
        <w:rPr>
          <w:rFonts w:ascii="Times New Roman" w:hAnsi="Times New Roman"/>
          <w:color w:val="231F20"/>
          <w:sz w:val="24"/>
          <w:szCs w:val="24"/>
          <w:lang w:val="az-Latn-AZ"/>
        </w:rPr>
        <w:t xml:space="preserve">), həm də daxili </w:t>
      </w:r>
      <w:r w:rsidRPr="009C2EF2">
        <w:rPr>
          <w:rFonts w:ascii="Times New Roman" w:hAnsi="Times New Roman"/>
          <w:i/>
          <w:color w:val="231F20"/>
          <w:sz w:val="24"/>
          <w:szCs w:val="24"/>
          <w:lang w:val="az-Latn-AZ"/>
        </w:rPr>
        <w:t xml:space="preserve">müştərilər </w:t>
      </w:r>
      <w:r w:rsidRPr="009C2EF2">
        <w:rPr>
          <w:rFonts w:ascii="Times New Roman" w:hAnsi="Times New Roman"/>
          <w:color w:val="231F20"/>
          <w:sz w:val="24"/>
          <w:szCs w:val="24"/>
          <w:lang w:val="az-Latn-AZ"/>
        </w:rPr>
        <w:t xml:space="preserve">(məsələn, işçi üzrə aparılmış qiymətləndirmələr) daxil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C12F86" w:rsidRPr="009C2EF2" w:rsidRDefault="00C12F86" w:rsidP="00C12F86">
      <w:pPr>
        <w:pStyle w:val="a3"/>
        <w:kinsoku w:val="0"/>
        <w:overflowPunct w:val="0"/>
        <w:spacing w:before="9"/>
        <w:ind w:left="0"/>
        <w:rPr>
          <w:rFonts w:ascii="Times New Roman" w:hAnsi="Times New Roman"/>
          <w:sz w:val="24"/>
          <w:szCs w:val="24"/>
          <w:lang w:val="az-Latn-AZ"/>
        </w:rPr>
      </w:pPr>
    </w:p>
    <w:p w:rsidR="00C12F86" w:rsidRPr="009C2EF2" w:rsidRDefault="00C12F86" w:rsidP="00C12F86">
      <w:pPr>
        <w:pStyle w:val="Heading41"/>
        <w:numPr>
          <w:ilvl w:val="1"/>
          <w:numId w:val="118"/>
        </w:numPr>
        <w:tabs>
          <w:tab w:val="left" w:pos="284"/>
        </w:tabs>
        <w:kinsoku w:val="0"/>
        <w:overflowPunct w:val="0"/>
        <w:ind w:left="426" w:hanging="426"/>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Yurisdiksiya</w:t>
      </w:r>
    </w:p>
    <w:p w:rsidR="00C12F86" w:rsidRPr="009C2EF2" w:rsidRDefault="00C12F86" w:rsidP="00C12F86">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z w:val="24"/>
          <w:szCs w:val="24"/>
          <w:lang w:val="az-Latn-AZ"/>
        </w:rPr>
        <w:t>Yurisdiksiya</w:t>
      </w:r>
      <w:r w:rsidRPr="009C2EF2">
        <w:rPr>
          <w:rFonts w:ascii="Times New Roman" w:hAnsi="Times New Roman"/>
          <w:color w:val="231F20"/>
          <w:sz w:val="24"/>
          <w:szCs w:val="24"/>
          <w:lang w:val="az-Latn-AZ"/>
        </w:rPr>
        <w:t xml:space="preserve">" anlayışı qiymətləndirmə işinin aparıldığı hüquqi və tənzimləyici mühiti nəzərdə tutur.  Bura adətən rəhbərlik (məsələn, ölkə, dövlət və bələdiyyə) tərəfindən müəyyən edilmiş qanun və qaydalar, eləcə də, </w:t>
      </w:r>
      <w:r w:rsidRPr="009C2EF2">
        <w:rPr>
          <w:rFonts w:ascii="Times New Roman" w:hAnsi="Times New Roman"/>
          <w:i/>
          <w:color w:val="231F20"/>
          <w:sz w:val="24"/>
          <w:szCs w:val="24"/>
          <w:lang w:val="az-Latn-AZ"/>
        </w:rPr>
        <w:t>məqsədindən</w:t>
      </w:r>
      <w:r w:rsidRPr="009C2EF2">
        <w:rPr>
          <w:rFonts w:ascii="Times New Roman" w:hAnsi="Times New Roman"/>
          <w:color w:val="231F20"/>
          <w:sz w:val="24"/>
          <w:szCs w:val="24"/>
          <w:lang w:val="az-Latn-AZ"/>
        </w:rPr>
        <w:t xml:space="preserve"> asılı olaraq müvafiq tənzimləyici orqanlar (məsələn, bank orqanları və qiymətli kağızlar bazarlarının tənzimləyici orqanları) tərəfindən müəyyən edilən qaydalar daxil olur.</w:t>
      </w:r>
    </w:p>
    <w:p w:rsidR="00C12F86" w:rsidRDefault="00C12F86" w:rsidP="00C12F86">
      <w:pPr>
        <w:pStyle w:val="a3"/>
        <w:kinsoku w:val="0"/>
        <w:overflowPunct w:val="0"/>
        <w:spacing w:before="9"/>
        <w:ind w:left="0"/>
        <w:rPr>
          <w:rFonts w:ascii="Times New Roman" w:hAnsi="Times New Roman"/>
          <w:sz w:val="24"/>
          <w:szCs w:val="24"/>
          <w:lang w:val="az-Latn-AZ"/>
        </w:rPr>
      </w:pPr>
    </w:p>
    <w:p w:rsidR="005C5DBB" w:rsidRDefault="005C5DBB" w:rsidP="00C12F86">
      <w:pPr>
        <w:pStyle w:val="a3"/>
        <w:kinsoku w:val="0"/>
        <w:overflowPunct w:val="0"/>
        <w:spacing w:before="9"/>
        <w:ind w:left="0"/>
        <w:rPr>
          <w:rFonts w:ascii="Times New Roman" w:hAnsi="Times New Roman"/>
          <w:sz w:val="24"/>
          <w:szCs w:val="24"/>
          <w:lang w:val="az-Latn-AZ"/>
        </w:rPr>
      </w:pPr>
    </w:p>
    <w:p w:rsidR="005C5DBB" w:rsidRPr="009C2EF2" w:rsidRDefault="005C5DBB" w:rsidP="00C12F86">
      <w:pPr>
        <w:pStyle w:val="a3"/>
        <w:kinsoku w:val="0"/>
        <w:overflowPunct w:val="0"/>
        <w:spacing w:before="9"/>
        <w:ind w:left="0"/>
        <w:rPr>
          <w:rFonts w:ascii="Times New Roman" w:hAnsi="Times New Roman"/>
          <w:sz w:val="24"/>
          <w:szCs w:val="24"/>
          <w:lang w:val="az-Latn-AZ"/>
        </w:rPr>
      </w:pPr>
    </w:p>
    <w:p w:rsidR="00C12F86" w:rsidRPr="005C5DBB" w:rsidRDefault="00C12F86" w:rsidP="00C12F86">
      <w:pPr>
        <w:pStyle w:val="Heading41"/>
        <w:numPr>
          <w:ilvl w:val="1"/>
          <w:numId w:val="118"/>
        </w:numPr>
        <w:tabs>
          <w:tab w:val="left" w:pos="284"/>
        </w:tabs>
        <w:kinsoku w:val="0"/>
        <w:overflowPunct w:val="0"/>
        <w:ind w:left="567"/>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Ola bilər</w:t>
      </w:r>
    </w:p>
    <w:p w:rsidR="005C5DBB" w:rsidRPr="005C5DBB" w:rsidRDefault="005C5DBB" w:rsidP="005C5DBB">
      <w:pPr>
        <w:pStyle w:val="Heading41"/>
        <w:tabs>
          <w:tab w:val="left" w:pos="284"/>
        </w:tabs>
        <w:kinsoku w:val="0"/>
        <w:overflowPunct w:val="0"/>
        <w:ind w:left="567" w:right="1026" w:hanging="141"/>
        <w:jc w:val="both"/>
        <w:rPr>
          <w:rFonts w:ascii="Times New Roman" w:hAnsi="Times New Roman"/>
          <w:b w:val="0"/>
          <w:color w:val="000000"/>
          <w:sz w:val="24"/>
          <w:szCs w:val="24"/>
          <w:lang w:val="az-Latn-AZ"/>
        </w:rPr>
      </w:pPr>
      <w:r w:rsidRPr="005C5DBB">
        <w:rPr>
          <w:rFonts w:ascii="Times New Roman" w:hAnsi="Times New Roman"/>
          <w:b w:val="0"/>
          <w:color w:val="000000"/>
          <w:sz w:val="24"/>
          <w:szCs w:val="24"/>
          <w:lang w:val="az-Latn-AZ"/>
        </w:rPr>
        <w:t>"İcazə məzmunlu" ifadələr fəaliyyət və proseduraların qiymətləndiricilərin səlahiyyətinə daxil olduğunu ifadə edir. Bu tərzdə ifadə olunan məsələlər qiymətləndiricinin diqqət və anlayışını tələb edir. Qiymətləndiricinin qiymətləndirmə işində bu məsələləri hansı şəkildə icra etməsi standartların məqsədindən asılı olaraq peşəkar mühakimə əsasında müəyyən ediləcək.</w:t>
      </w:r>
    </w:p>
    <w:p w:rsidR="005C5DBB" w:rsidRPr="005C5DBB" w:rsidRDefault="005C5DBB" w:rsidP="005C5DBB">
      <w:pPr>
        <w:pStyle w:val="Heading41"/>
        <w:tabs>
          <w:tab w:val="left" w:pos="284"/>
        </w:tabs>
        <w:kinsoku w:val="0"/>
        <w:overflowPunct w:val="0"/>
        <w:ind w:left="567"/>
        <w:rPr>
          <w:rFonts w:ascii="Times New Roman" w:hAnsi="Times New Roman"/>
          <w:b w:val="0"/>
          <w:color w:val="000000"/>
          <w:sz w:val="24"/>
          <w:szCs w:val="24"/>
          <w:lang w:val="az-Latn-AZ"/>
        </w:rPr>
      </w:pPr>
    </w:p>
    <w:p w:rsidR="005C5DBB" w:rsidRPr="005C5DBB" w:rsidRDefault="00CA58A1" w:rsidP="005C5DBB">
      <w:pPr>
        <w:pStyle w:val="Heading41"/>
        <w:tabs>
          <w:tab w:val="left" w:pos="284"/>
        </w:tabs>
        <w:kinsoku w:val="0"/>
        <w:overflowPunct w:val="0"/>
        <w:ind w:left="567"/>
        <w:rPr>
          <w:rFonts w:ascii="Times New Roman" w:hAnsi="Times New Roman"/>
          <w:b w:val="0"/>
          <w:color w:val="000000"/>
          <w:sz w:val="24"/>
          <w:szCs w:val="24"/>
          <w:lang w:val="az-Latn-AZ"/>
        </w:rPr>
      </w:pPr>
      <w:r w:rsidRPr="00CA58A1">
        <w:rPr>
          <w:rFonts w:ascii="Times New Roman" w:hAnsi="Times New Roman"/>
          <w:b w:val="0"/>
          <w:color w:val="000000"/>
          <w:szCs w:val="18"/>
          <w:lang w:val="az-Latn-AZ"/>
        </w:rPr>
        <w:t>20.5</w:t>
      </w:r>
      <w:r w:rsidR="005C5DBB" w:rsidRPr="005C5DBB">
        <w:rPr>
          <w:rFonts w:ascii="Times New Roman" w:hAnsi="Times New Roman"/>
          <w:b w:val="0"/>
          <w:color w:val="000000"/>
          <w:sz w:val="24"/>
          <w:szCs w:val="24"/>
          <w:lang w:val="az-Latn-AZ"/>
        </w:rPr>
        <w:t>.</w:t>
      </w:r>
      <w:r w:rsidR="005C5DBB" w:rsidRPr="005C5DBB">
        <w:rPr>
          <w:rFonts w:ascii="Times New Roman" w:hAnsi="Times New Roman"/>
          <w:b w:val="0"/>
          <w:color w:val="000000"/>
          <w:sz w:val="24"/>
          <w:szCs w:val="24"/>
          <w:lang w:val="az-Latn-AZ"/>
        </w:rPr>
        <w:tab/>
      </w:r>
      <w:r w:rsidR="005C5DBB" w:rsidRPr="005C5DBB">
        <w:rPr>
          <w:rFonts w:ascii="Times New Roman" w:hAnsi="Times New Roman"/>
          <w:color w:val="000000"/>
          <w:sz w:val="24"/>
          <w:szCs w:val="24"/>
          <w:lang w:val="az-Latn-AZ"/>
        </w:rPr>
        <w:t>Olmalıdıd</w:t>
      </w:r>
      <w:r w:rsidR="005C5DBB">
        <w:rPr>
          <w:rFonts w:ascii="Times New Roman" w:hAnsi="Times New Roman"/>
          <w:color w:val="000000"/>
          <w:sz w:val="24"/>
          <w:szCs w:val="24"/>
          <w:lang w:val="az-Latn-AZ"/>
        </w:rPr>
        <w:t>ı</w:t>
      </w:r>
      <w:r w:rsidR="005C5DBB" w:rsidRPr="005C5DBB">
        <w:rPr>
          <w:rFonts w:ascii="Times New Roman" w:hAnsi="Times New Roman"/>
          <w:color w:val="000000"/>
          <w:sz w:val="24"/>
          <w:szCs w:val="24"/>
          <w:lang w:val="az-Latn-AZ"/>
        </w:rPr>
        <w:t>r</w:t>
      </w:r>
    </w:p>
    <w:p w:rsidR="005C5DBB" w:rsidRDefault="005C5DBB" w:rsidP="005C5DBB">
      <w:pPr>
        <w:pStyle w:val="Heading41"/>
        <w:tabs>
          <w:tab w:val="left" w:pos="284"/>
        </w:tabs>
        <w:kinsoku w:val="0"/>
        <w:overflowPunct w:val="0"/>
        <w:ind w:left="567" w:right="1026" w:firstLine="0"/>
        <w:jc w:val="both"/>
        <w:outlineLvl w:val="9"/>
        <w:rPr>
          <w:rFonts w:ascii="Times New Roman" w:hAnsi="Times New Roman"/>
          <w:b w:val="0"/>
          <w:color w:val="000000"/>
          <w:sz w:val="24"/>
          <w:szCs w:val="24"/>
          <w:lang w:val="az-Latn-AZ"/>
        </w:rPr>
      </w:pPr>
      <w:r w:rsidRPr="005C5DBB">
        <w:rPr>
          <w:rFonts w:ascii="Times New Roman" w:hAnsi="Times New Roman"/>
          <w:b w:val="0"/>
          <w:color w:val="000000"/>
          <w:sz w:val="24"/>
          <w:szCs w:val="24"/>
          <w:lang w:val="az-Latn-AZ"/>
        </w:rPr>
        <w:t>"Malı (məli)" şəkilçisi ilə bitən sözlər qeyd-şərtsiz öhdəliyi ifadə edir. Qiymətləndirici bu tələbin tətbiq olunduğu bütün hallarda bu cür öhdəlikləri yerinə yetirməlidir.</w:t>
      </w:r>
    </w:p>
    <w:p w:rsidR="00CA58A1" w:rsidRDefault="00CA58A1" w:rsidP="00CA58A1">
      <w:pPr>
        <w:pStyle w:val="Heading41"/>
        <w:tabs>
          <w:tab w:val="left" w:pos="284"/>
        </w:tabs>
        <w:kinsoku w:val="0"/>
        <w:overflowPunct w:val="0"/>
        <w:ind w:left="567" w:right="1026"/>
        <w:jc w:val="both"/>
        <w:rPr>
          <w:rFonts w:ascii="Times New Roman" w:hAnsi="Times New Roman"/>
          <w:b w:val="0"/>
          <w:color w:val="000000"/>
          <w:sz w:val="24"/>
          <w:szCs w:val="24"/>
          <w:lang w:val="az-Latn-AZ"/>
        </w:rPr>
      </w:pPr>
    </w:p>
    <w:p w:rsidR="00CA58A1" w:rsidRPr="00CA58A1" w:rsidRDefault="00CA58A1" w:rsidP="00CA58A1">
      <w:pPr>
        <w:pStyle w:val="Heading41"/>
        <w:tabs>
          <w:tab w:val="left" w:pos="284"/>
        </w:tabs>
        <w:kinsoku w:val="0"/>
        <w:overflowPunct w:val="0"/>
        <w:ind w:left="567" w:right="1026"/>
        <w:jc w:val="both"/>
        <w:rPr>
          <w:rFonts w:ascii="Times New Roman" w:hAnsi="Times New Roman"/>
          <w:b w:val="0"/>
          <w:color w:val="000000"/>
          <w:sz w:val="24"/>
          <w:szCs w:val="24"/>
          <w:lang w:val="az-Latn-AZ"/>
        </w:rPr>
      </w:pPr>
      <w:r w:rsidRPr="00CA58A1">
        <w:rPr>
          <w:rFonts w:ascii="Times New Roman" w:hAnsi="Times New Roman"/>
          <w:b w:val="0"/>
          <w:color w:val="000000"/>
          <w:szCs w:val="18"/>
          <w:lang w:val="az-Latn-AZ"/>
        </w:rPr>
        <w:t>20.</w:t>
      </w:r>
      <w:r w:rsidRPr="00CA58A1">
        <w:rPr>
          <w:rFonts w:ascii="Times New Roman" w:hAnsi="Times New Roman"/>
          <w:b w:val="0"/>
          <w:color w:val="000000"/>
          <w:szCs w:val="18"/>
          <w:lang w:val="az-Latn-AZ"/>
        </w:rPr>
        <w:t>6</w:t>
      </w:r>
      <w:r w:rsidRPr="00CA58A1">
        <w:rPr>
          <w:rFonts w:ascii="Times New Roman" w:hAnsi="Times New Roman"/>
          <w:b w:val="0"/>
          <w:color w:val="000000"/>
          <w:sz w:val="24"/>
          <w:szCs w:val="24"/>
          <w:lang w:val="az-Latn-AZ"/>
        </w:rPr>
        <w:t>.</w:t>
      </w:r>
      <w:r w:rsidRPr="00CA58A1">
        <w:rPr>
          <w:rFonts w:ascii="Times New Roman" w:hAnsi="Times New Roman"/>
          <w:color w:val="000000"/>
          <w:sz w:val="24"/>
          <w:szCs w:val="24"/>
          <w:lang w:val="az-Latn-AZ"/>
        </w:rPr>
        <w:tab/>
        <w:t>İştirakçı</w:t>
      </w:r>
    </w:p>
    <w:p w:rsidR="00CA58A1" w:rsidRDefault="00CA58A1" w:rsidP="00CA58A1">
      <w:pPr>
        <w:pStyle w:val="Heading41"/>
        <w:tabs>
          <w:tab w:val="left" w:pos="284"/>
        </w:tabs>
        <w:kinsoku w:val="0"/>
        <w:overflowPunct w:val="0"/>
        <w:ind w:left="567" w:right="1026" w:firstLine="0"/>
        <w:jc w:val="both"/>
        <w:outlineLvl w:val="9"/>
        <w:rPr>
          <w:rFonts w:ascii="Times New Roman" w:hAnsi="Times New Roman"/>
          <w:b w:val="0"/>
          <w:color w:val="000000"/>
          <w:sz w:val="24"/>
          <w:szCs w:val="24"/>
          <w:lang w:val="az-Latn-AZ"/>
        </w:rPr>
      </w:pPr>
      <w:r w:rsidRPr="00CA58A1">
        <w:rPr>
          <w:rFonts w:ascii="Times New Roman" w:hAnsi="Times New Roman"/>
          <w:b w:val="0"/>
          <w:color w:val="000000"/>
          <w:sz w:val="24"/>
          <w:szCs w:val="24"/>
          <w:lang w:val="az-Latn-AZ"/>
        </w:rPr>
        <w:t>"İştirakçı" anlayışı qiymətləndirmə tapşırığında tətbiq olunan dəyər bazasına (və ya bazaları) uyğun gələn iştirakçıları nəzərdə tutur (BQS 104 Dəyər Bazalarına baxın). Müxtəlif dəyər bazaları qiymətləndiricilər tərəfindən "bazar iştirakçıları" (məsələn, Bazar Dəyəri, IFRS (Beynəlxalq Maliyyə Hesabatları Standartı) Ədalətli Dəyəri) və ya xüsusi sahibkar, eləcə də, potensial alıcı (məsələn, İnvestisiya Dəyəri) perspektivləri kimi müxtəlif perspektivlərin nəzərə alınmasını tələb edir.</w:t>
      </w:r>
    </w:p>
    <w:p w:rsidR="00233BAA" w:rsidRDefault="00233BAA" w:rsidP="00CA58A1">
      <w:pPr>
        <w:pStyle w:val="Heading41"/>
        <w:tabs>
          <w:tab w:val="left" w:pos="284"/>
        </w:tabs>
        <w:kinsoku w:val="0"/>
        <w:overflowPunct w:val="0"/>
        <w:ind w:left="567" w:right="1026" w:firstLine="0"/>
        <w:jc w:val="both"/>
        <w:outlineLvl w:val="9"/>
        <w:rPr>
          <w:rFonts w:ascii="Times New Roman" w:hAnsi="Times New Roman"/>
          <w:b w:val="0"/>
          <w:color w:val="000000"/>
          <w:sz w:val="24"/>
          <w:szCs w:val="24"/>
          <w:lang w:val="az-Latn-AZ"/>
        </w:rPr>
      </w:pPr>
    </w:p>
    <w:p w:rsidR="00233BAA" w:rsidRPr="009C2EF2" w:rsidRDefault="00233BAA" w:rsidP="00233BAA">
      <w:pPr>
        <w:pStyle w:val="Heading41"/>
        <w:numPr>
          <w:ilvl w:val="1"/>
          <w:numId w:val="122"/>
        </w:numPr>
        <w:tabs>
          <w:tab w:val="left" w:pos="709"/>
        </w:tabs>
        <w:kinsoku w:val="0"/>
        <w:overflowPunct w:val="0"/>
        <w:ind w:left="426"/>
        <w:outlineLvl w:val="9"/>
        <w:rPr>
          <w:rFonts w:ascii="Times New Roman" w:hAnsi="Times New Roman"/>
          <w:b w:val="0"/>
          <w:color w:val="000000"/>
          <w:sz w:val="24"/>
          <w:szCs w:val="24"/>
          <w:lang w:val="az-Latn-AZ"/>
        </w:rPr>
      </w:pPr>
      <w:r>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Məqsəd</w:t>
      </w:r>
    </w:p>
    <w:p w:rsidR="00233BAA" w:rsidRDefault="00233BAA" w:rsidP="00233BAA">
      <w:pPr>
        <w:pStyle w:val="a3"/>
        <w:kinsoku w:val="0"/>
        <w:overflowPunct w:val="0"/>
        <w:spacing w:before="122" w:line="250" w:lineRule="auto"/>
        <w:ind w:left="567" w:right="1026"/>
        <w:jc w:val="both"/>
        <w:rPr>
          <w:rFonts w:ascii="Times New Roman" w:hAnsi="Times New Roman"/>
          <w:color w:val="231F2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z w:val="24"/>
          <w:szCs w:val="24"/>
          <w:lang w:val="az-Latn-AZ"/>
        </w:rPr>
        <w:t>Məqsəd</w:t>
      </w:r>
      <w:r w:rsidRPr="009C2EF2">
        <w:rPr>
          <w:rFonts w:ascii="Times New Roman" w:hAnsi="Times New Roman"/>
          <w:color w:val="231F20"/>
          <w:sz w:val="24"/>
          <w:szCs w:val="24"/>
          <w:lang w:val="az-Latn-AZ"/>
        </w:rPr>
        <w:t xml:space="preserve">" anlayışı qiymətləndirmənin aparılma səbəb(lər)ini ifadə edir. Əsas </w:t>
      </w:r>
      <w:r w:rsidRPr="009C2EF2">
        <w:rPr>
          <w:rFonts w:ascii="Times New Roman" w:hAnsi="Times New Roman"/>
          <w:i/>
          <w:color w:val="231F20"/>
          <w:sz w:val="24"/>
          <w:szCs w:val="24"/>
          <w:lang w:val="az-Latn-AZ"/>
        </w:rPr>
        <w:t xml:space="preserve">məqsədlərə </w:t>
      </w:r>
      <w:r w:rsidRPr="009C2EF2">
        <w:rPr>
          <w:rFonts w:ascii="Times New Roman" w:hAnsi="Times New Roman"/>
          <w:color w:val="231F20"/>
          <w:sz w:val="24"/>
          <w:szCs w:val="24"/>
          <w:lang w:val="az-Latn-AZ"/>
        </w:rPr>
        <w:t>maliyyə hesabatı, vergi hesabatı, məhkəmə təminatı, tranzaksiya dəstəyi və təminatlı kreditləşmə ilə bağlı qərarların müşayiəti daxildir (lakin bunlarla məhdudlaşmır).</w:t>
      </w:r>
    </w:p>
    <w:p w:rsidR="00233BAA" w:rsidRPr="009C2EF2" w:rsidRDefault="00233BAA" w:rsidP="00233BAA">
      <w:pPr>
        <w:pStyle w:val="Heading41"/>
        <w:numPr>
          <w:ilvl w:val="1"/>
          <w:numId w:val="122"/>
        </w:numPr>
        <w:tabs>
          <w:tab w:val="left" w:pos="1531"/>
        </w:tabs>
        <w:kinsoku w:val="0"/>
        <w:overflowPunct w:val="0"/>
        <w:ind w:left="426"/>
        <w:outlineLvl w:val="9"/>
        <w:rPr>
          <w:rFonts w:ascii="Times New Roman" w:hAnsi="Times New Roman"/>
          <w:b w:val="0"/>
          <w:color w:val="000000"/>
          <w:sz w:val="24"/>
          <w:szCs w:val="24"/>
          <w:lang w:val="az-Latn-AZ"/>
        </w:rPr>
      </w:pPr>
      <w:r>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Felin vacib şəkli</w:t>
      </w:r>
    </w:p>
    <w:p w:rsidR="00233BAA" w:rsidRPr="009C2EF2" w:rsidRDefault="00233BAA" w:rsidP="00233BAA">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pacing w:val="1"/>
          <w:sz w:val="24"/>
          <w:szCs w:val="24"/>
          <w:lang w:val="az-Latn-AZ"/>
        </w:rPr>
        <w:t xml:space="preserve">Felin vacib şəklində </w:t>
      </w:r>
      <w:r w:rsidRPr="009C2EF2">
        <w:rPr>
          <w:rFonts w:ascii="Times New Roman" w:hAnsi="Times New Roman"/>
          <w:color w:val="231F20"/>
          <w:sz w:val="24"/>
          <w:szCs w:val="24"/>
          <w:lang w:val="az-Latn-AZ"/>
        </w:rPr>
        <w:t xml:space="preserve">" ifadə olunan fellər vacib olan öhdəlikləri ifadə edir. </w:t>
      </w:r>
      <w:r w:rsidRPr="009C2EF2">
        <w:rPr>
          <w:rFonts w:ascii="Times New Roman" w:hAnsi="Times New Roman"/>
          <w:i/>
          <w:color w:val="231F20"/>
          <w:sz w:val="24"/>
          <w:szCs w:val="24"/>
          <w:lang w:val="az-Latn-AZ"/>
        </w:rPr>
        <w:t>Qiymətləndirici</w:t>
      </w:r>
      <w:r w:rsidRPr="009C2EF2">
        <w:rPr>
          <w:rFonts w:ascii="Times New Roman" w:hAnsi="Times New Roman"/>
          <w:color w:val="231F20"/>
          <w:sz w:val="24"/>
          <w:szCs w:val="24"/>
          <w:lang w:val="az-Latn-AZ"/>
        </w:rPr>
        <w:t xml:space="preserve"> bu şərtlər altında əməl olunması vacib olan alternativ əməliyyatların standartların məqsədlərinə çatmağa kifayət </w:t>
      </w:r>
      <w:r w:rsidRPr="009C2EF2">
        <w:rPr>
          <w:rFonts w:ascii="Times New Roman" w:hAnsi="Times New Roman"/>
          <w:color w:val="231F20"/>
          <w:sz w:val="24"/>
          <w:szCs w:val="24"/>
          <w:lang w:val="az-Latn-AZ"/>
        </w:rPr>
        <w:lastRenderedPageBreak/>
        <w:t xml:space="preserve">etdiyini göstərdiyi hallar istisna olmaqla, digər məqamlarda </w:t>
      </w:r>
      <w:r w:rsidRPr="009C2EF2">
        <w:rPr>
          <w:rFonts w:ascii="Times New Roman" w:hAnsi="Times New Roman"/>
          <w:i/>
          <w:color w:val="231F20"/>
          <w:sz w:val="24"/>
          <w:szCs w:val="24"/>
          <w:lang w:val="az-Latn-AZ"/>
        </w:rPr>
        <w:t>qiymətləndirici bu cür tələblərə əməl etməlidir</w:t>
      </w:r>
      <w:r w:rsidRPr="009C2EF2">
        <w:rPr>
          <w:rFonts w:ascii="Times New Roman" w:hAnsi="Times New Roman"/>
          <w:color w:val="231F20"/>
          <w:sz w:val="24"/>
          <w:szCs w:val="24"/>
          <w:lang w:val="az-Latn-AZ"/>
        </w:rPr>
        <w:t>.</w:t>
      </w:r>
    </w:p>
    <w:p w:rsidR="00233BAA" w:rsidRPr="009C2EF2" w:rsidRDefault="00233BAA" w:rsidP="00233BAA">
      <w:pPr>
        <w:pStyle w:val="a3"/>
        <w:kinsoku w:val="0"/>
        <w:overflowPunct w:val="0"/>
        <w:spacing w:before="9"/>
        <w:ind w:left="0"/>
        <w:rPr>
          <w:rFonts w:ascii="Times New Roman" w:hAnsi="Times New Roman"/>
          <w:sz w:val="24"/>
          <w:szCs w:val="24"/>
          <w:lang w:val="az-Latn-AZ"/>
        </w:rPr>
      </w:pPr>
    </w:p>
    <w:p w:rsidR="00233BAA" w:rsidRPr="009C2EF2" w:rsidRDefault="00233BAA" w:rsidP="00233BAA">
      <w:pPr>
        <w:pStyle w:val="a3"/>
        <w:kinsoku w:val="0"/>
        <w:overflowPunct w:val="0"/>
        <w:spacing w:before="122" w:line="250" w:lineRule="auto"/>
        <w:ind w:left="567" w:right="1026"/>
        <w:jc w:val="both"/>
        <w:rPr>
          <w:rFonts w:ascii="Times New Roman" w:hAnsi="Times New Roman"/>
          <w:color w:val="000000"/>
          <w:sz w:val="24"/>
          <w:szCs w:val="24"/>
          <w:lang w:val="az-Latn-AZ"/>
        </w:rPr>
      </w:pPr>
    </w:p>
    <w:p w:rsidR="00B36FA2" w:rsidRPr="009C2EF2" w:rsidRDefault="00B36FA2" w:rsidP="00B36FA2">
      <w:pPr>
        <w:pStyle w:val="a3"/>
        <w:kinsoku w:val="0"/>
        <w:overflowPunct w:val="0"/>
        <w:spacing w:line="250" w:lineRule="auto"/>
        <w:ind w:left="0" w:right="1026"/>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783680" behindDoc="0" locked="0" layoutInCell="0" allowOverlap="1" wp14:anchorId="5940FAA2" wp14:editId="2CDBF3BE">
                <wp:simplePos x="0" y="0"/>
                <wp:positionH relativeFrom="page">
                  <wp:posOffset>151130</wp:posOffset>
                </wp:positionH>
                <wp:positionV relativeFrom="paragraph">
                  <wp:posOffset>292100</wp:posOffset>
                </wp:positionV>
                <wp:extent cx="152400" cy="574040"/>
                <wp:effectExtent l="0" t="0" r="0" b="0"/>
                <wp:wrapNone/>
                <wp:docPr id="2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A2" w:rsidRDefault="00B36FA2" w:rsidP="00B36FA2">
                            <w:pPr>
                              <w:pStyle w:val="a3"/>
                              <w:kinsoku w:val="0"/>
                              <w:overflowPunct w:val="0"/>
                              <w:spacing w:line="226" w:lineRule="exact"/>
                              <w:ind w:left="20"/>
                              <w:rPr>
                                <w:color w:val="000000"/>
                                <w:sz w:val="20"/>
                                <w:szCs w:val="24"/>
                              </w:rPr>
                            </w:pPr>
                            <w:r>
                              <w:rPr>
                                <w:b/>
                                <w:color w:val="FFFFFF"/>
                                <w:spacing w:val="3"/>
                                <w:w w:val="97"/>
                                <w:sz w:val="20"/>
                                <w:szCs w:val="24"/>
                                <w:lang w:val="az-Latn-AZ"/>
                              </w:rPr>
                              <w:t>Lüğət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0FAA2" id="Text Box 25" o:spid="_x0000_s1040" type="#_x0000_t202" style="position:absolute;left:0;text-align:left;margin-left:11.9pt;margin-top:23pt;width:12pt;height:45.2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" o:allowincell="f" filled="f" stroked="f">
                <v:textbox style="layout-flow:vertical;mso-layout-flow-alt:bottom-to-top" inset="0,0,0,0">
                  <w:txbxContent>
                    <w:p w:rsidR="00B36FA2" w:rsidRDefault="00B36FA2" w:rsidP="00B36FA2">
                      <w:pPr>
                        <w:pStyle w:val="a3"/>
                        <w:kinsoku w:val="0"/>
                        <w:overflowPunct w:val="0"/>
                        <w:spacing w:line="226" w:lineRule="exact"/>
                        <w:ind w:left="20"/>
                        <w:rPr>
                          <w:color w:val="000000"/>
                          <w:sz w:val="20"/>
                          <w:szCs w:val="24"/>
                        </w:rPr>
                      </w:pPr>
                      <w:r>
                        <w:rPr>
                          <w:b/>
                          <w:color w:val="FFFFFF"/>
                          <w:spacing w:val="3"/>
                          <w:w w:val="97"/>
                          <w:sz w:val="20"/>
                          <w:szCs w:val="24"/>
                          <w:lang w:val="az-Latn-AZ"/>
                        </w:rPr>
                        <w:t>Lüğət</w:t>
                      </w:r>
                    </w:p>
                  </w:txbxContent>
                </v:textbox>
                <w10:wrap anchorx="page"/>
              </v:shape>
            </w:pict>
          </mc:Fallback>
        </mc:AlternateConten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standartın məqsədlərinə alternativ vasitələrlə nail oluna biləcəyini güman etdiyi hallarda göstərilən fəaliyyətin hansı səbəbdən zəruri və/və ya uyğun hesab olunmadığı </w:t>
      </w:r>
      <w:r w:rsidRPr="009C2EF2">
        <w:rPr>
          <w:rFonts w:ascii="Times New Roman" w:hAnsi="Times New Roman"/>
          <w:i/>
          <w:color w:val="231F20"/>
          <w:sz w:val="24"/>
          <w:szCs w:val="24"/>
          <w:lang w:val="az-Latn-AZ"/>
        </w:rPr>
        <w:t>qiymətləndirici tərəfindən sənədləşdirilməlidir</w:t>
      </w:r>
      <w:r w:rsidRPr="009C2EF2">
        <w:rPr>
          <w:rFonts w:ascii="Times New Roman" w:hAnsi="Times New Roman"/>
          <w:color w:val="231F20"/>
          <w:sz w:val="24"/>
          <w:szCs w:val="24"/>
          <w:lang w:val="az-Latn-AZ"/>
        </w:rPr>
        <w:t>.</w:t>
      </w:r>
    </w:p>
    <w:p w:rsidR="00B36FA2" w:rsidRPr="009C2EF2" w:rsidRDefault="00B36FA2" w:rsidP="00B36FA2">
      <w:pPr>
        <w:pStyle w:val="a3"/>
        <w:kinsoku w:val="0"/>
        <w:overflowPunct w:val="0"/>
        <w:spacing w:before="9"/>
        <w:ind w:left="0"/>
        <w:rPr>
          <w:rFonts w:ascii="Times New Roman" w:hAnsi="Times New Roman"/>
          <w:sz w:val="24"/>
          <w:szCs w:val="24"/>
          <w:lang w:val="az-Latn-AZ"/>
        </w:rPr>
      </w:pPr>
    </w:p>
    <w:p w:rsidR="00B36FA2" w:rsidRPr="009C2EF2" w:rsidRDefault="00B36FA2" w:rsidP="00B36FA2">
      <w:pPr>
        <w:pStyle w:val="a3"/>
        <w:kinsoku w:val="0"/>
        <w:overflowPunct w:val="0"/>
        <w:spacing w:line="250" w:lineRule="auto"/>
        <w:ind w:left="0" w:right="10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Standarta əsasən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fəaliyyət və ya proseduranı nəzərə "</w:t>
      </w:r>
      <w:r w:rsidRPr="009C2EF2">
        <w:rPr>
          <w:rFonts w:ascii="Times New Roman" w:hAnsi="Times New Roman"/>
          <w:i/>
          <w:color w:val="231F20"/>
          <w:spacing w:val="1"/>
          <w:sz w:val="24"/>
          <w:szCs w:val="24"/>
          <w:lang w:val="az-Latn-AZ"/>
        </w:rPr>
        <w:t>alması</w:t>
      </w:r>
      <w:r w:rsidRPr="009C2EF2">
        <w:rPr>
          <w:rFonts w:ascii="Times New Roman" w:hAnsi="Times New Roman"/>
          <w:color w:val="231F20"/>
          <w:sz w:val="24"/>
          <w:szCs w:val="24"/>
          <w:lang w:val="az-Latn-AZ"/>
        </w:rPr>
        <w:t>" tələb olunduqda, fəaliyyət və ya proseduranın olmadığı halda belə onların nəzərə alınması vacibdir.</w:t>
      </w:r>
    </w:p>
    <w:p w:rsidR="00233BAA" w:rsidRPr="009C2EF2" w:rsidRDefault="00233BAA" w:rsidP="00CA58A1">
      <w:pPr>
        <w:pStyle w:val="Heading41"/>
        <w:tabs>
          <w:tab w:val="left" w:pos="284"/>
        </w:tabs>
        <w:kinsoku w:val="0"/>
        <w:overflowPunct w:val="0"/>
        <w:ind w:left="567" w:right="1026" w:firstLine="0"/>
        <w:jc w:val="both"/>
        <w:outlineLvl w:val="9"/>
        <w:rPr>
          <w:rFonts w:ascii="Times New Roman" w:hAnsi="Times New Roman"/>
          <w:b w:val="0"/>
          <w:color w:val="000000"/>
          <w:sz w:val="24"/>
          <w:szCs w:val="24"/>
          <w:lang w:val="az-Latn-AZ"/>
        </w:rPr>
      </w:pPr>
    </w:p>
    <w:p w:rsidR="00C94547" w:rsidRPr="009C2EF2" w:rsidRDefault="00C94547" w:rsidP="00C94547">
      <w:pPr>
        <w:pStyle w:val="Heading41"/>
        <w:numPr>
          <w:ilvl w:val="1"/>
          <w:numId w:val="122"/>
        </w:numPr>
        <w:kinsoku w:val="0"/>
        <w:overflowPunct w:val="0"/>
        <w:ind w:left="567" w:hanging="567"/>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Əhəmiyyətlilik və maddilik</w:t>
      </w:r>
    </w:p>
    <w:p w:rsidR="00C94547" w:rsidRDefault="00C94547" w:rsidP="00C94547">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Əhəmiyyətlilik və </w:t>
      </w:r>
      <w:r w:rsidRPr="009C2EF2">
        <w:rPr>
          <w:rFonts w:ascii="Times New Roman" w:hAnsi="Times New Roman"/>
          <w:i/>
          <w:color w:val="231F20"/>
          <w:sz w:val="24"/>
          <w:szCs w:val="24"/>
          <w:lang w:val="az-Latn-AZ"/>
        </w:rPr>
        <w:t xml:space="preserve">maddiliyin </w:t>
      </w:r>
      <w:r w:rsidRPr="009C2EF2">
        <w:rPr>
          <w:rFonts w:ascii="Times New Roman" w:hAnsi="Times New Roman"/>
          <w:color w:val="231F20"/>
          <w:spacing w:val="1"/>
          <w:sz w:val="24"/>
          <w:szCs w:val="24"/>
          <w:lang w:val="az-Latn-AZ"/>
        </w:rPr>
        <w:t xml:space="preserve">qiymətləndirilməsi peşəkar mühakimə əsasında müəyyən edilir. Lakin mühakimə aşağıdakı kontekstdə </w:t>
      </w:r>
      <w:r>
        <w:rPr>
          <w:rFonts w:ascii="Times New Roman" w:hAnsi="Times New Roman"/>
          <w:i/>
          <w:color w:val="231F20"/>
          <w:spacing w:val="1"/>
          <w:sz w:val="24"/>
          <w:szCs w:val="24"/>
          <w:lang w:val="az-Latn-AZ"/>
        </w:rPr>
        <w:t>yürüdülməlidir</w:t>
      </w:r>
      <w:r w:rsidRPr="009C2EF2">
        <w:rPr>
          <w:rFonts w:ascii="Times New Roman" w:hAnsi="Times New Roman"/>
          <w:color w:val="231F20"/>
          <w:spacing w:val="1"/>
          <w:sz w:val="24"/>
          <w:szCs w:val="24"/>
          <w:lang w:val="az-Latn-AZ"/>
        </w:rPr>
        <w:t>:</w:t>
      </w:r>
    </w:p>
    <w:p w:rsidR="00C94547" w:rsidRPr="00A80375" w:rsidRDefault="00C94547" w:rsidP="00A80375">
      <w:pPr>
        <w:pStyle w:val="a3"/>
        <w:numPr>
          <w:ilvl w:val="0"/>
          <w:numId w:val="125"/>
        </w:numPr>
        <w:kinsoku w:val="0"/>
        <w:overflowPunct w:val="0"/>
        <w:spacing w:before="122" w:line="250" w:lineRule="auto"/>
        <w:ind w:left="426" w:right="10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aspektlərinin (o cümlədən, ilkin məlumatlar, ehtimallar, xüsusi ehtimallar, tətbiq olunan metodlar və yanaşmalar) tətbiqi və/və ya qiymətləndirmə üzrə təsiri qiymətləndirmə istifadəçilərinin iqtisadi və ya digər qərarlarına təsir etməsi ehtimal olunduğu təqdirdə qiymətləndirmə aspektləri ə</w:t>
      </w:r>
      <w:r w:rsidRPr="009C2EF2">
        <w:rPr>
          <w:rFonts w:ascii="Times New Roman" w:hAnsi="Times New Roman"/>
          <w:i/>
          <w:color w:val="231F20"/>
          <w:spacing w:val="1"/>
          <w:sz w:val="24"/>
          <w:szCs w:val="24"/>
          <w:lang w:val="az-Latn-AZ"/>
        </w:rPr>
        <w:t xml:space="preserve">həmiyyətliliyinə/maddiliyinə </w:t>
      </w:r>
      <w:r w:rsidR="00A80375">
        <w:rPr>
          <w:rFonts w:ascii="Times New Roman" w:hAnsi="Times New Roman"/>
          <w:color w:val="231F20"/>
          <w:spacing w:val="1"/>
          <w:sz w:val="24"/>
          <w:szCs w:val="24"/>
          <w:lang w:val="az-Latn-AZ"/>
        </w:rPr>
        <w:t>görə nəzərə alınmalıdır.</w:t>
      </w:r>
      <w:r w:rsidR="00A80375">
        <w:rPr>
          <w:rFonts w:ascii="Times New Roman" w:hAnsi="Times New Roman"/>
          <w:color w:val="000000"/>
          <w:sz w:val="24"/>
          <w:szCs w:val="24"/>
          <w:lang w:val="az-Latn-AZ"/>
        </w:rPr>
        <w:t xml:space="preserve"> </w:t>
      </w:r>
      <w:r w:rsidR="00A80375" w:rsidRPr="00A80375">
        <w:rPr>
          <w:rFonts w:ascii="Times New Roman" w:hAnsi="Times New Roman"/>
          <w:i/>
          <w:color w:val="000000"/>
          <w:sz w:val="24"/>
          <w:szCs w:val="24"/>
          <w:lang w:val="az-Latn-AZ"/>
        </w:rPr>
        <w:t>M</w:t>
      </w:r>
      <w:r w:rsidRPr="00A80375">
        <w:rPr>
          <w:rFonts w:ascii="Times New Roman" w:hAnsi="Times New Roman"/>
          <w:i/>
          <w:color w:val="231F20"/>
          <w:sz w:val="24"/>
          <w:szCs w:val="24"/>
          <w:lang w:val="az-Latn-AZ"/>
        </w:rPr>
        <w:t xml:space="preserve">addilik </w:t>
      </w:r>
      <w:r w:rsidRPr="00A80375">
        <w:rPr>
          <w:rFonts w:ascii="Times New Roman" w:hAnsi="Times New Roman"/>
          <w:color w:val="231F20"/>
          <w:sz w:val="24"/>
          <w:szCs w:val="24"/>
          <w:lang w:val="az-Latn-AZ"/>
        </w:rPr>
        <w:t xml:space="preserve">ilə bağlı mülahizələr </w:t>
      </w:r>
      <w:r w:rsidRPr="00A80375">
        <w:rPr>
          <w:rFonts w:ascii="Times New Roman" w:hAnsi="Times New Roman"/>
          <w:i/>
          <w:color w:val="231F20"/>
          <w:sz w:val="24"/>
          <w:szCs w:val="24"/>
          <w:lang w:val="az-Latn-AZ"/>
        </w:rPr>
        <w:t xml:space="preserve">qiymətləndirilən aktivlərin </w:t>
      </w:r>
      <w:r w:rsidRPr="00A80375">
        <w:rPr>
          <w:rFonts w:ascii="Times New Roman" w:hAnsi="Times New Roman"/>
          <w:color w:val="231F20"/>
          <w:sz w:val="24"/>
          <w:szCs w:val="24"/>
          <w:lang w:val="az-Latn-AZ"/>
        </w:rPr>
        <w:t>ölçüsü və növü nəzərə alınmaqla ümumi qiymətləndirmə işi əsasında irəli sürülür.</w:t>
      </w:r>
    </w:p>
    <w:p w:rsidR="00C94547" w:rsidRPr="009C2EF2" w:rsidRDefault="00C94547" w:rsidP="00C94547">
      <w:pPr>
        <w:pStyle w:val="a3"/>
        <w:kinsoku w:val="0"/>
        <w:overflowPunct w:val="0"/>
        <w:spacing w:before="9"/>
        <w:ind w:left="0"/>
        <w:rPr>
          <w:rFonts w:ascii="Times New Roman" w:hAnsi="Times New Roman"/>
          <w:i/>
          <w:sz w:val="24"/>
          <w:szCs w:val="24"/>
          <w:lang w:val="az-Latn-AZ"/>
        </w:rPr>
      </w:pPr>
    </w:p>
    <w:p w:rsidR="00C94547" w:rsidRPr="009C2EF2" w:rsidRDefault="00C94547" w:rsidP="009D10A0">
      <w:pPr>
        <w:pStyle w:val="a3"/>
        <w:numPr>
          <w:ilvl w:val="0"/>
          <w:numId w:val="125"/>
        </w:numPr>
        <w:tabs>
          <w:tab w:val="left" w:pos="1815"/>
        </w:tabs>
        <w:kinsoku w:val="0"/>
        <w:overflowPunct w:val="0"/>
        <w:spacing w:line="250" w:lineRule="auto"/>
        <w:ind w:left="284" w:right="10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Bu standartlarda göstərildiyi kimi, "</w:t>
      </w:r>
      <w:r w:rsidRPr="009C2EF2">
        <w:rPr>
          <w:rFonts w:ascii="Times New Roman" w:hAnsi="Times New Roman"/>
          <w:i/>
          <w:color w:val="231F20"/>
          <w:spacing w:val="1"/>
          <w:sz w:val="24"/>
          <w:szCs w:val="24"/>
          <w:lang w:val="az-Latn-AZ"/>
        </w:rPr>
        <w:t>maddilik</w:t>
      </w:r>
      <w:r w:rsidRPr="009C2EF2">
        <w:rPr>
          <w:rFonts w:ascii="Times New Roman" w:hAnsi="Times New Roman"/>
          <w:color w:val="231F20"/>
          <w:spacing w:val="1"/>
          <w:sz w:val="24"/>
          <w:szCs w:val="24"/>
          <w:lang w:val="az-Latn-AZ"/>
        </w:rPr>
        <w:t xml:space="preserve">" anlayışı qiymətləndirmə işi əsasında müəyyən edilən </w:t>
      </w:r>
      <w:r w:rsidRPr="009C2EF2">
        <w:rPr>
          <w:rFonts w:ascii="Times New Roman" w:hAnsi="Times New Roman"/>
          <w:i/>
          <w:color w:val="231F20"/>
          <w:sz w:val="24"/>
          <w:szCs w:val="24"/>
          <w:lang w:val="az-Latn-AZ"/>
        </w:rPr>
        <w:t xml:space="preserve">maddiliyi </w:t>
      </w:r>
      <w:r w:rsidRPr="009C2EF2">
        <w:rPr>
          <w:rFonts w:ascii="Times New Roman" w:hAnsi="Times New Roman"/>
          <w:color w:val="231F20"/>
          <w:spacing w:val="1"/>
          <w:sz w:val="24"/>
          <w:szCs w:val="24"/>
          <w:lang w:val="az-Latn-AZ"/>
        </w:rPr>
        <w:t xml:space="preserve">nəzərdə tutur və maddilik ilə bağlı digər </w:t>
      </w:r>
      <w:r w:rsidRPr="009C2EF2">
        <w:rPr>
          <w:rFonts w:ascii="Times New Roman" w:hAnsi="Times New Roman"/>
          <w:i/>
          <w:color w:val="231F20"/>
          <w:sz w:val="24"/>
          <w:szCs w:val="24"/>
          <w:lang w:val="az-Latn-AZ"/>
        </w:rPr>
        <w:t>məqsədlər</w:t>
      </w:r>
      <w:r w:rsidRPr="009C2EF2">
        <w:rPr>
          <w:rFonts w:ascii="Times New Roman" w:hAnsi="Times New Roman"/>
          <w:color w:val="231F20"/>
          <w:spacing w:val="1"/>
          <w:sz w:val="24"/>
          <w:szCs w:val="24"/>
          <w:lang w:val="az-Latn-AZ"/>
        </w:rPr>
        <w:t xml:space="preserve"> (məsələn, maliyyə hesabatları və onların auditi kimi) üzrə mülahizələrdən fərqlənə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C94547" w:rsidRPr="009C2EF2" w:rsidRDefault="00C94547" w:rsidP="00C94547">
      <w:pPr>
        <w:pStyle w:val="a3"/>
        <w:kinsoku w:val="0"/>
        <w:overflowPunct w:val="0"/>
        <w:spacing w:before="9"/>
        <w:ind w:left="0"/>
        <w:rPr>
          <w:rFonts w:ascii="Times New Roman" w:hAnsi="Times New Roman"/>
          <w:sz w:val="24"/>
          <w:szCs w:val="24"/>
          <w:lang w:val="az-Latn-AZ"/>
        </w:rPr>
      </w:pPr>
    </w:p>
    <w:p w:rsidR="00C94547" w:rsidRPr="009C2EF2" w:rsidRDefault="00C94547" w:rsidP="009D10A0">
      <w:pPr>
        <w:pStyle w:val="Heading41"/>
        <w:numPr>
          <w:ilvl w:val="1"/>
          <w:numId w:val="122"/>
        </w:numPr>
        <w:tabs>
          <w:tab w:val="left" w:pos="709"/>
        </w:tabs>
        <w:kinsoku w:val="0"/>
        <w:overflowPunct w:val="0"/>
        <w:ind w:left="426"/>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Predmeti və ya Qiymətləndirilən Aktiv</w:t>
      </w:r>
    </w:p>
    <w:p w:rsidR="00C94547" w:rsidRPr="009C2EF2" w:rsidRDefault="00C94547" w:rsidP="009D10A0">
      <w:pPr>
        <w:pStyle w:val="a3"/>
        <w:kinsoku w:val="0"/>
        <w:overflowPunct w:val="0"/>
        <w:spacing w:before="122" w:line="250" w:lineRule="auto"/>
        <w:ind w:left="0" w:right="1026"/>
        <w:jc w:val="both"/>
        <w:rPr>
          <w:rFonts w:ascii="Times New Roman" w:hAnsi="Times New Roman"/>
          <w:sz w:val="24"/>
          <w:szCs w:val="24"/>
          <w:lang w:val="az-Latn-AZ"/>
        </w:rPr>
      </w:pPr>
      <w:r w:rsidRPr="009C2EF2">
        <w:rPr>
          <w:rFonts w:ascii="Times New Roman" w:hAnsi="Times New Roman"/>
          <w:color w:val="231F20"/>
          <w:sz w:val="24"/>
          <w:szCs w:val="24"/>
          <w:lang w:val="az-Latn-AZ"/>
        </w:rPr>
        <w:t xml:space="preserve">Bu terminlər xüsusi qiymətləndirmə işi əsasında qiymətləndirilən </w:t>
      </w:r>
      <w:r w:rsidRPr="009C2EF2">
        <w:rPr>
          <w:rFonts w:ascii="Times New Roman" w:hAnsi="Times New Roman"/>
          <w:i/>
          <w:color w:val="231F20"/>
          <w:spacing w:val="-1"/>
          <w:sz w:val="24"/>
          <w:szCs w:val="24"/>
          <w:lang w:val="az-Latn-AZ"/>
        </w:rPr>
        <w:t xml:space="preserve">aktiv(lər)i </w:t>
      </w:r>
      <w:r w:rsidRPr="009C2EF2">
        <w:rPr>
          <w:rFonts w:ascii="Times New Roman" w:hAnsi="Times New Roman"/>
          <w:color w:val="231F20"/>
          <w:sz w:val="24"/>
          <w:szCs w:val="24"/>
          <w:lang w:val="az-Latn-AZ"/>
        </w:rPr>
        <w:t>nəzərdə tutur.</w:t>
      </w:r>
    </w:p>
    <w:p w:rsidR="00C94547" w:rsidRPr="009C2EF2" w:rsidRDefault="00C94547" w:rsidP="00C94547">
      <w:pPr>
        <w:pStyle w:val="a3"/>
        <w:kinsoku w:val="0"/>
        <w:overflowPunct w:val="0"/>
        <w:ind w:left="0"/>
        <w:rPr>
          <w:rFonts w:ascii="Times New Roman" w:hAnsi="Times New Roman"/>
          <w:sz w:val="24"/>
          <w:szCs w:val="24"/>
          <w:lang w:val="az-Latn-AZ"/>
        </w:rPr>
      </w:pPr>
    </w:p>
    <w:p w:rsidR="00833515" w:rsidRPr="009C2EF2" w:rsidRDefault="00833515" w:rsidP="00833515">
      <w:pPr>
        <w:pStyle w:val="Heading41"/>
        <w:numPr>
          <w:ilvl w:val="1"/>
          <w:numId w:val="122"/>
        </w:numPr>
        <w:tabs>
          <w:tab w:val="left" w:pos="681"/>
        </w:tabs>
        <w:kinsoku w:val="0"/>
        <w:overflowPunct w:val="0"/>
        <w:spacing w:before="77"/>
        <w:ind w:left="426"/>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Məqsədi və ya Qiymətləndirmənin Məqsədi</w:t>
      </w:r>
    </w:p>
    <w:p w:rsidR="00833515" w:rsidRPr="009C2EF2" w:rsidRDefault="00833515" w:rsidP="00833515">
      <w:pPr>
        <w:pStyle w:val="a3"/>
        <w:kinsoku w:val="0"/>
        <w:overflowPunct w:val="0"/>
        <w:spacing w:before="122"/>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pacing w:val="-2"/>
          <w:sz w:val="24"/>
          <w:szCs w:val="24"/>
          <w:lang w:val="az-Latn-AZ"/>
        </w:rPr>
        <w:t>Məqsədə</w:t>
      </w:r>
      <w:r w:rsidRPr="009C2EF2">
        <w:rPr>
          <w:rFonts w:ascii="Times New Roman" w:hAnsi="Times New Roman"/>
          <w:color w:val="231F20"/>
          <w:sz w:val="24"/>
          <w:szCs w:val="24"/>
          <w:lang w:val="az-Latn-AZ"/>
        </w:rPr>
        <w:t>" baxın.</w:t>
      </w:r>
    </w:p>
    <w:p w:rsidR="00833515" w:rsidRPr="009C2EF2" w:rsidRDefault="003C64E0" w:rsidP="00833515">
      <w:pPr>
        <w:pStyle w:val="Heading41"/>
        <w:numPr>
          <w:ilvl w:val="1"/>
          <w:numId w:val="122"/>
        </w:numPr>
        <w:tabs>
          <w:tab w:val="left" w:pos="681"/>
        </w:tabs>
        <w:kinsoku w:val="0"/>
        <w:overflowPunct w:val="0"/>
        <w:ind w:left="426"/>
        <w:outlineLvl w:val="9"/>
        <w:rPr>
          <w:rFonts w:ascii="Times New Roman" w:hAnsi="Times New Roman"/>
          <w:b w:val="0"/>
          <w:color w:val="000000"/>
          <w:sz w:val="24"/>
          <w:szCs w:val="24"/>
          <w:lang w:val="az-Latn-AZ"/>
        </w:rPr>
      </w:pPr>
      <w:r w:rsidRPr="009C2EF2">
        <w:rPr>
          <w:rFonts w:ascii="Times New Roman" w:hAnsi="Times New Roman"/>
          <w:sz w:val="24"/>
          <w:szCs w:val="24"/>
          <w:lang w:val="az-Latn-AZ"/>
        </w:rPr>
        <w:br w:type="column"/>
      </w:r>
      <w:r w:rsidR="00833515" w:rsidRPr="009C2EF2">
        <w:rPr>
          <w:rFonts w:ascii="Times New Roman" w:hAnsi="Times New Roman"/>
          <w:color w:val="231F20"/>
          <w:spacing w:val="1"/>
          <w:sz w:val="24"/>
          <w:szCs w:val="24"/>
          <w:lang w:val="az-Latn-AZ"/>
        </w:rPr>
        <w:lastRenderedPageBreak/>
        <w:t>Qiymətləndirmə üzrə Rəyçi</w:t>
      </w:r>
    </w:p>
    <w:p w:rsidR="00833515" w:rsidRPr="009C2EF2" w:rsidRDefault="00833515" w:rsidP="00833515">
      <w:pPr>
        <w:pStyle w:val="a3"/>
        <w:kinsoku w:val="0"/>
        <w:overflowPunct w:val="0"/>
        <w:spacing w:before="122" w:line="250" w:lineRule="auto"/>
        <w:ind w:left="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z w:val="24"/>
          <w:szCs w:val="24"/>
          <w:lang w:val="az-Latn-AZ"/>
        </w:rPr>
        <w:t>Qiymətləndirmə rəyçisi</w:t>
      </w:r>
      <w:r w:rsidRPr="009C2EF2">
        <w:rPr>
          <w:rFonts w:ascii="Times New Roman" w:hAnsi="Times New Roman"/>
          <w:color w:val="231F20"/>
          <w:sz w:val="24"/>
          <w:szCs w:val="24"/>
          <w:lang w:val="az-Latn-AZ"/>
        </w:rPr>
        <w:t xml:space="preserve">" başqa </w:t>
      </w:r>
      <w:r w:rsidRPr="009C2EF2">
        <w:rPr>
          <w:rFonts w:ascii="Times New Roman" w:hAnsi="Times New Roman"/>
          <w:i/>
          <w:color w:val="231F20"/>
          <w:spacing w:val="-2"/>
          <w:sz w:val="24"/>
          <w:szCs w:val="24"/>
          <w:lang w:val="az-Latn-AZ"/>
        </w:rPr>
        <w:t>qiymətləndiricinin</w:t>
      </w:r>
      <w:r w:rsidRPr="009C2EF2">
        <w:rPr>
          <w:rFonts w:ascii="Times New Roman" w:hAnsi="Times New Roman"/>
          <w:color w:val="231F20"/>
          <w:sz w:val="24"/>
          <w:szCs w:val="24"/>
          <w:lang w:val="az-Latn-AZ"/>
        </w:rPr>
        <w:t xml:space="preserve"> işini yoxlayan peşəkar </w:t>
      </w:r>
      <w:r w:rsidRPr="009C2EF2">
        <w:rPr>
          <w:rFonts w:ascii="Times New Roman" w:hAnsi="Times New Roman"/>
          <w:i/>
          <w:color w:val="231F20"/>
          <w:sz w:val="24"/>
          <w:szCs w:val="24"/>
          <w:lang w:val="az-Latn-AZ"/>
        </w:rPr>
        <w:t>qiymətləndiricidir</w:t>
      </w:r>
      <w:r w:rsidRPr="009C2EF2">
        <w:rPr>
          <w:rFonts w:ascii="Times New Roman" w:hAnsi="Times New Roman"/>
          <w:color w:val="231F20"/>
          <w:sz w:val="24"/>
          <w:szCs w:val="24"/>
          <w:lang w:val="az-Latn-AZ"/>
        </w:rPr>
        <w:t xml:space="preserve">. Qiymətləndirməyə baxış zamanı peşəkar qiymətləndirici müvafiq qiymətləndirmə proseduralarını tətbiq edərək rəy bildirə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833515" w:rsidRPr="009C2EF2" w:rsidRDefault="00833515" w:rsidP="00833515">
      <w:pPr>
        <w:pStyle w:val="a3"/>
        <w:kinsoku w:val="0"/>
        <w:overflowPunct w:val="0"/>
        <w:spacing w:before="9"/>
        <w:ind w:left="0"/>
        <w:rPr>
          <w:rFonts w:ascii="Times New Roman" w:hAnsi="Times New Roman"/>
          <w:sz w:val="24"/>
          <w:szCs w:val="24"/>
          <w:lang w:val="az-Latn-AZ"/>
        </w:rPr>
      </w:pPr>
    </w:p>
    <w:p w:rsidR="00833515" w:rsidRPr="009C2EF2" w:rsidRDefault="00833515" w:rsidP="00833515">
      <w:pPr>
        <w:pStyle w:val="Heading41"/>
        <w:numPr>
          <w:ilvl w:val="1"/>
          <w:numId w:val="122"/>
        </w:numPr>
        <w:tabs>
          <w:tab w:val="left" w:pos="681"/>
        </w:tabs>
        <w:kinsoku w:val="0"/>
        <w:overflowPunct w:val="0"/>
        <w:ind w:left="426"/>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Qiymətləndirici</w:t>
      </w:r>
    </w:p>
    <w:p w:rsidR="00833515" w:rsidRPr="009C2EF2" w:rsidRDefault="00833515" w:rsidP="00833515">
      <w:pPr>
        <w:pStyle w:val="a3"/>
        <w:kinsoku w:val="0"/>
        <w:overflowPunct w:val="0"/>
        <w:spacing w:before="122" w:line="250" w:lineRule="auto"/>
        <w:ind w:left="0" w:right="105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pacing w:val="1"/>
          <w:sz w:val="24"/>
          <w:szCs w:val="24"/>
          <w:lang w:val="az-Latn-AZ"/>
        </w:rPr>
        <w:t>Qiymətləndirici</w:t>
      </w:r>
      <w:r w:rsidRPr="009C2EF2">
        <w:rPr>
          <w:rFonts w:ascii="Times New Roman" w:hAnsi="Times New Roman"/>
          <w:color w:val="231F20"/>
          <w:sz w:val="24"/>
          <w:szCs w:val="24"/>
          <w:lang w:val="az-Latn-AZ"/>
        </w:rPr>
        <w:t xml:space="preserve">" qiymətləndirməni obyektiv, müstəqil və səriştəli şəkildə həyata keçirə biləcək müvafiq ixtisaslı, qabiliyyətli və təcrübəsi olan şəxs, şəxslər qrupu və ya şirkətdir. Bəzi </w:t>
      </w:r>
      <w:r w:rsidRPr="009C2EF2">
        <w:rPr>
          <w:rFonts w:ascii="Times New Roman" w:hAnsi="Times New Roman"/>
          <w:i/>
          <w:color w:val="231F20"/>
          <w:sz w:val="24"/>
          <w:szCs w:val="24"/>
          <w:lang w:val="az-Latn-AZ"/>
        </w:rPr>
        <w:t xml:space="preserve">yurisdiksiyalara </w:t>
      </w:r>
      <w:r w:rsidRPr="009C2EF2">
        <w:rPr>
          <w:rFonts w:ascii="Times New Roman" w:hAnsi="Times New Roman"/>
          <w:color w:val="231F20"/>
          <w:sz w:val="24"/>
          <w:szCs w:val="24"/>
          <w:lang w:val="az-Latn-AZ"/>
        </w:rPr>
        <w:t xml:space="preserve">görə, </w:t>
      </w:r>
      <w:r w:rsidRPr="009C2EF2">
        <w:rPr>
          <w:rFonts w:ascii="Times New Roman" w:hAnsi="Times New Roman"/>
          <w:i/>
          <w:color w:val="231F20"/>
          <w:spacing w:val="-2"/>
          <w:sz w:val="24"/>
          <w:szCs w:val="24"/>
          <w:lang w:val="az-Latn-AZ"/>
        </w:rPr>
        <w:t>qiymətləndirici</w:t>
      </w:r>
      <w:r w:rsidRPr="009C2EF2">
        <w:rPr>
          <w:rFonts w:ascii="Times New Roman" w:hAnsi="Times New Roman"/>
          <w:color w:val="231F20"/>
          <w:sz w:val="24"/>
          <w:szCs w:val="24"/>
          <w:lang w:val="az-Latn-AZ"/>
        </w:rPr>
        <w:t xml:space="preserve"> kimi çıxış etmək üçün lisenziyalaşdırma tələb olunur.</w:t>
      </w:r>
    </w:p>
    <w:p w:rsidR="00833515" w:rsidRPr="009C2EF2" w:rsidRDefault="00833515" w:rsidP="00833515">
      <w:pPr>
        <w:pStyle w:val="a3"/>
        <w:kinsoku w:val="0"/>
        <w:overflowPunct w:val="0"/>
        <w:spacing w:before="9"/>
        <w:ind w:left="0"/>
        <w:rPr>
          <w:rFonts w:ascii="Times New Roman" w:hAnsi="Times New Roman"/>
          <w:sz w:val="24"/>
          <w:szCs w:val="24"/>
          <w:lang w:val="az-Latn-AZ"/>
        </w:rPr>
      </w:pPr>
    </w:p>
    <w:p w:rsidR="00833515" w:rsidRPr="009C2EF2" w:rsidRDefault="00833515" w:rsidP="00833515">
      <w:pPr>
        <w:pStyle w:val="Heading41"/>
        <w:numPr>
          <w:ilvl w:val="1"/>
          <w:numId w:val="122"/>
        </w:numPr>
        <w:tabs>
          <w:tab w:val="left" w:pos="681"/>
        </w:tabs>
        <w:kinsoku w:val="0"/>
        <w:overflowPunct w:val="0"/>
        <w:ind w:left="426"/>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Çəki</w:t>
      </w:r>
      <w:r>
        <w:rPr>
          <w:rFonts w:ascii="Times New Roman" w:hAnsi="Times New Roman"/>
          <w:color w:val="231F20"/>
          <w:spacing w:val="1"/>
          <w:sz w:val="24"/>
          <w:szCs w:val="24"/>
          <w:lang w:val="az-Latn-AZ"/>
        </w:rPr>
        <w:t xml:space="preserve"> əmsalı</w:t>
      </w:r>
    </w:p>
    <w:p w:rsidR="00833515" w:rsidRPr="009C2EF2" w:rsidRDefault="00833515" w:rsidP="00833515">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w:t>
      </w:r>
      <w:r w:rsidRPr="009C2EF2">
        <w:rPr>
          <w:rFonts w:ascii="Times New Roman" w:hAnsi="Times New Roman"/>
          <w:i/>
          <w:color w:val="231F20"/>
          <w:spacing w:val="1"/>
          <w:sz w:val="24"/>
          <w:szCs w:val="24"/>
          <w:lang w:val="az-Latn-AZ"/>
        </w:rPr>
        <w:t>Çəki</w:t>
      </w:r>
      <w:r w:rsidRPr="009C2EF2">
        <w:rPr>
          <w:rFonts w:ascii="Times New Roman" w:hAnsi="Times New Roman"/>
          <w:color w:val="231F20"/>
          <w:sz w:val="24"/>
          <w:szCs w:val="24"/>
          <w:lang w:val="az-Latn-AZ"/>
        </w:rPr>
        <w:t xml:space="preserve">" anlayışı dəyərin müəyyənləşdirilməsi zamanı xüsusi dəyər göstəricisinin əhəmiyyətini ifadə edir (məsələn ayrı metoddan istifadə olunan zaman </w:t>
      </w:r>
      <w:r w:rsidRPr="009C2EF2">
        <w:rPr>
          <w:rFonts w:ascii="Times New Roman" w:hAnsi="Times New Roman"/>
          <w:i/>
          <w:color w:val="231F20"/>
          <w:sz w:val="24"/>
          <w:szCs w:val="24"/>
          <w:lang w:val="az-Latn-AZ"/>
        </w:rPr>
        <w:t>çəki</w:t>
      </w:r>
      <w:r w:rsidRPr="009C2EF2">
        <w:rPr>
          <w:rFonts w:ascii="Times New Roman" w:hAnsi="Times New Roman"/>
          <w:color w:val="231F20"/>
          <w:sz w:val="24"/>
          <w:szCs w:val="24"/>
          <w:lang w:val="az-Latn-AZ"/>
        </w:rPr>
        <w:t xml:space="preserve"> 100% götürülür).</w:t>
      </w:r>
    </w:p>
    <w:p w:rsidR="00833515" w:rsidRPr="009C2EF2" w:rsidRDefault="00833515" w:rsidP="00833515">
      <w:pPr>
        <w:pStyle w:val="a3"/>
        <w:kinsoku w:val="0"/>
        <w:overflowPunct w:val="0"/>
        <w:spacing w:before="9"/>
        <w:ind w:left="0"/>
        <w:rPr>
          <w:rFonts w:ascii="Times New Roman" w:hAnsi="Times New Roman"/>
          <w:sz w:val="24"/>
          <w:szCs w:val="24"/>
          <w:lang w:val="az-Latn-AZ"/>
        </w:rPr>
      </w:pPr>
    </w:p>
    <w:p w:rsidR="00833515" w:rsidRPr="009C2EF2" w:rsidRDefault="00833515" w:rsidP="00833515">
      <w:pPr>
        <w:pStyle w:val="Heading41"/>
        <w:numPr>
          <w:ilvl w:val="1"/>
          <w:numId w:val="122"/>
        </w:numPr>
        <w:tabs>
          <w:tab w:val="left" w:pos="681"/>
        </w:tabs>
        <w:kinsoku w:val="0"/>
        <w:overflowPunct w:val="0"/>
        <w:ind w:left="426"/>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Çəkinin müəyyən edilməsi</w:t>
      </w:r>
    </w:p>
    <w:p w:rsidR="00833515" w:rsidRPr="009C2EF2" w:rsidRDefault="00833515" w:rsidP="00833515">
      <w:pPr>
        <w:pStyle w:val="a3"/>
        <w:kinsoku w:val="0"/>
        <w:overflowPunct w:val="0"/>
        <w:spacing w:before="122" w:line="250" w:lineRule="auto"/>
        <w:ind w:left="0" w:right="1026"/>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785728" behindDoc="0" locked="0" layoutInCell="0" allowOverlap="1" wp14:anchorId="0CB4CA45" wp14:editId="0EC0631B">
                <wp:simplePos x="0" y="0"/>
                <wp:positionH relativeFrom="page">
                  <wp:posOffset>5276215</wp:posOffset>
                </wp:positionH>
                <wp:positionV relativeFrom="paragraph">
                  <wp:posOffset>500380</wp:posOffset>
                </wp:positionV>
                <wp:extent cx="152400" cy="574040"/>
                <wp:effectExtent l="0" t="0" r="0" b="0"/>
                <wp:wrapNone/>
                <wp:docPr id="2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515" w:rsidRDefault="00833515" w:rsidP="00833515">
                            <w:pPr>
                              <w:pStyle w:val="a3"/>
                              <w:kinsoku w:val="0"/>
                              <w:overflowPunct w:val="0"/>
                              <w:spacing w:line="226" w:lineRule="exact"/>
                              <w:ind w:left="20"/>
                              <w:rPr>
                                <w:color w:val="000000"/>
                                <w:sz w:val="20"/>
                                <w:szCs w:val="24"/>
                              </w:rPr>
                            </w:pPr>
                            <w:r>
                              <w:rPr>
                                <w:b/>
                                <w:color w:val="FFFFFF"/>
                                <w:spacing w:val="3"/>
                                <w:w w:val="97"/>
                                <w:sz w:val="20"/>
                                <w:szCs w:val="24"/>
                                <w:lang w:val="az-Latn-AZ"/>
                              </w:rPr>
                              <w:t>Lüğət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CA45" id="Text Box 27" o:spid="_x0000_s1041" type="#_x0000_t202" style="position:absolute;left:0;text-align:left;margin-left:415.45pt;margin-top:39.4pt;width:12pt;height:45.2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" o:allowincell="f" filled="f" stroked="f">
                <v:textbox style="layout-flow:vertical" inset="0,0,0,0">
                  <w:txbxContent>
                    <w:p w:rsidR="00833515" w:rsidRDefault="00833515" w:rsidP="00833515">
                      <w:pPr>
                        <w:pStyle w:val="a3"/>
                        <w:kinsoku w:val="0"/>
                        <w:overflowPunct w:val="0"/>
                        <w:spacing w:line="226" w:lineRule="exact"/>
                        <w:ind w:left="20"/>
                        <w:rPr>
                          <w:color w:val="000000"/>
                          <w:sz w:val="20"/>
                          <w:szCs w:val="24"/>
                        </w:rPr>
                      </w:pPr>
                      <w:r>
                        <w:rPr>
                          <w:b/>
                          <w:color w:val="FFFFFF"/>
                          <w:spacing w:val="3"/>
                          <w:w w:val="97"/>
                          <w:sz w:val="20"/>
                          <w:szCs w:val="24"/>
                          <w:lang w:val="az-Latn-AZ"/>
                        </w:rPr>
                        <w:t>Lüğət</w:t>
                      </w:r>
                    </w:p>
                  </w:txbxContent>
                </v:textbox>
                <w10:wrap anchorx="page"/>
              </v:shape>
            </w:pict>
          </mc:Fallback>
        </mc:AlternateContent>
      </w:r>
      <w:r w:rsidRPr="009C2EF2">
        <w:rPr>
          <w:rFonts w:ascii="Times New Roman" w:hAnsi="Times New Roman"/>
          <w:color w:val="231F20"/>
          <w:sz w:val="24"/>
          <w:szCs w:val="24"/>
          <w:lang w:val="az-Latn-AZ"/>
        </w:rPr>
        <w:t>"</w:t>
      </w:r>
      <w:r w:rsidRPr="009C2EF2">
        <w:rPr>
          <w:rFonts w:ascii="Times New Roman" w:hAnsi="Times New Roman"/>
          <w:i/>
          <w:color w:val="231F20"/>
          <w:sz w:val="24"/>
          <w:szCs w:val="24"/>
          <w:lang w:val="az-Latn-AZ"/>
        </w:rPr>
        <w:t>Çəkinin müəyyən edilməsi</w:t>
      </w:r>
      <w:r w:rsidRPr="009C2EF2">
        <w:rPr>
          <w:rFonts w:ascii="Times New Roman" w:hAnsi="Times New Roman"/>
          <w:color w:val="231F20"/>
          <w:sz w:val="24"/>
          <w:szCs w:val="24"/>
          <w:lang w:val="az-Latn-AZ"/>
        </w:rPr>
        <w:t>" anlayışı müxtəlif metod və/və ya yanaşmalardan əldə olunan fərqli dəyər göstəricilərinin təhlil prosesini nəzərdə tutur. Bu prosesə məqbul hesab edilmədiyinə görə orta qiymətləndirmələr daxil edilmir.</w:t>
      </w:r>
    </w:p>
    <w:p w:rsidR="00D02DD9" w:rsidRPr="00B36FA2" w:rsidRDefault="0075026C" w:rsidP="00B36FA2">
      <w:pPr>
        <w:pStyle w:val="a3"/>
        <w:kinsoku w:val="0"/>
        <w:overflowPunct w:val="0"/>
        <w:spacing w:before="79"/>
        <w:ind w:left="113"/>
        <w:jc w:val="center"/>
        <w:rPr>
          <w:rFonts w:ascii="Times New Roman" w:hAnsi="Times New Roman"/>
          <w:i/>
          <w:sz w:val="24"/>
          <w:szCs w:val="24"/>
          <w:lang w:val="az-Latn-AZ"/>
        </w:rPr>
        <w:sectPr w:rsidR="00D02DD9" w:rsidRPr="00B36FA2">
          <w:type w:val="continuous"/>
          <w:pgSz w:w="8850" w:h="13270"/>
          <w:pgMar w:top="1000" w:right="0" w:bottom="280" w:left="1020" w:header="720" w:footer="720" w:gutter="0"/>
          <w:cols w:space="720" w:equalWidth="0">
            <w:col w:w="7830"/>
          </w:cols>
        </w:sect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9776" behindDoc="1" locked="0" layoutInCell="0" allowOverlap="1" wp14:anchorId="5A6025D8" wp14:editId="3598AB08">
                <wp:simplePos x="0" y="0"/>
                <wp:positionH relativeFrom="page">
                  <wp:posOffset>5183505</wp:posOffset>
                </wp:positionH>
                <wp:positionV relativeFrom="page">
                  <wp:posOffset>0</wp:posOffset>
                </wp:positionV>
                <wp:extent cx="431800" cy="8423910"/>
                <wp:effectExtent l="0" t="0" r="0" b="0"/>
                <wp:wrapNone/>
                <wp:docPr id="24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DC47E0" id="Freeform 22" o:spid="_x0000_s1026" style="position:absolute;margin-left:408.15pt;margin-top:0;width:34pt;height:663.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CuP5pm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D02DD9" w:rsidP="00C82D07">
      <w:pPr>
        <w:pStyle w:val="a3"/>
        <w:kinsoku w:val="0"/>
        <w:overflowPunct w:val="0"/>
        <w:spacing w:before="4"/>
        <w:ind w:left="426"/>
        <w:rPr>
          <w:rFonts w:ascii="Times New Roman" w:hAnsi="Times New Roman"/>
          <w:sz w:val="24"/>
          <w:szCs w:val="24"/>
          <w:lang w:val="az-Latn-AZ"/>
        </w:rPr>
      </w:pPr>
    </w:p>
    <w:p w:rsidR="00D02DD9" w:rsidRPr="009C2EF2" w:rsidRDefault="003C64E0">
      <w:pPr>
        <w:pStyle w:val="Heading11"/>
        <w:kinsoku w:val="0"/>
        <w:overflowPunct w:val="0"/>
        <w:spacing w:before="112"/>
        <w:ind w:left="963"/>
        <w:outlineLvl w:val="9"/>
        <w:rPr>
          <w:rFonts w:ascii="Times New Roman" w:hAnsi="Times New Roman"/>
          <w:b w:val="0"/>
          <w:color w:val="000000"/>
          <w:sz w:val="24"/>
          <w:szCs w:val="24"/>
          <w:lang w:val="az-Latn-AZ"/>
        </w:rPr>
      </w:pPr>
      <w:bookmarkStart w:id="2" w:name="bookmark2"/>
      <w:bookmarkEnd w:id="2"/>
      <w:r w:rsidRPr="009C2EF2">
        <w:rPr>
          <w:rFonts w:ascii="Times New Roman" w:hAnsi="Times New Roman"/>
          <w:color w:val="231F20"/>
          <w:spacing w:val="-2"/>
          <w:sz w:val="24"/>
          <w:szCs w:val="24"/>
          <w:lang w:val="az-Latn-AZ"/>
        </w:rPr>
        <w:t xml:space="preserve">Beynəlxalq Qiymətləndirmə Standartları (BQS) </w:t>
      </w:r>
      <w:r w:rsidR="005B08CE">
        <w:rPr>
          <w:rFonts w:ascii="Times New Roman" w:hAnsi="Times New Roman"/>
          <w:color w:val="231F20"/>
          <w:spacing w:val="-2"/>
          <w:sz w:val="24"/>
          <w:szCs w:val="24"/>
          <w:lang w:val="az-Latn-AZ"/>
        </w:rPr>
        <w:t>Prinsipləri</w:t>
      </w:r>
    </w:p>
    <w:p w:rsidR="00D02DD9" w:rsidRPr="009C2EF2" w:rsidRDefault="00D02DD9">
      <w:pPr>
        <w:pStyle w:val="a3"/>
        <w:kinsoku w:val="0"/>
        <w:overflowPunct w:val="0"/>
        <w:spacing w:before="3"/>
        <w:ind w:left="0"/>
        <w:rPr>
          <w:rFonts w:ascii="Times New Roman" w:hAnsi="Times New Roman"/>
          <w:b/>
          <w:sz w:val="24"/>
          <w:szCs w:val="24"/>
          <w:lang w:val="az-Latn-AZ"/>
        </w:rPr>
      </w:pPr>
    </w:p>
    <w:tbl>
      <w:tblPr>
        <w:tblW w:w="6544" w:type="dxa"/>
        <w:tblInd w:w="964" w:type="dxa"/>
        <w:tblLayout w:type="fixed"/>
        <w:tblCellMar>
          <w:left w:w="0" w:type="dxa"/>
          <w:right w:w="0" w:type="dxa"/>
        </w:tblCellMar>
        <w:tblLook w:val="04A0" w:firstRow="1" w:lastRow="0" w:firstColumn="1" w:lastColumn="0" w:noHBand="0" w:noVBand="1"/>
      </w:tblPr>
      <w:tblGrid>
        <w:gridCol w:w="4843"/>
        <w:gridCol w:w="1701"/>
      </w:tblGrid>
      <w:tr w:rsidR="00D02DD9" w:rsidRPr="009C2EF2" w:rsidTr="00281953">
        <w:trPr>
          <w:trHeight w:hRule="exact" w:val="1001"/>
        </w:trPr>
        <w:tc>
          <w:tcPr>
            <w:tcW w:w="4843" w:type="dxa"/>
            <w:shd w:val="clear" w:color="auto" w:fill="E6E7E8"/>
          </w:tcPr>
          <w:p w:rsidR="00D02DD9" w:rsidRPr="009C2EF2" w:rsidRDefault="00D02DD9">
            <w:pPr>
              <w:pStyle w:val="TableParagraph"/>
              <w:kinsoku w:val="0"/>
              <w:overflowPunct w:val="0"/>
              <w:spacing w:before="4"/>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281953" w:rsidP="00281953">
            <w:pPr>
              <w:pStyle w:val="TableParagraph"/>
              <w:kinsoku w:val="0"/>
              <w:overflowPunct w:val="0"/>
              <w:spacing w:before="122"/>
              <w:ind w:left="283" w:right="-1436"/>
              <w:rPr>
                <w:sz w:val="24"/>
                <w:szCs w:val="24"/>
                <w:lang w:val="az-Latn-AZ"/>
              </w:rPr>
            </w:pPr>
            <w:r>
              <w:rPr>
                <w:color w:val="231F20"/>
                <w:spacing w:val="1"/>
                <w:sz w:val="24"/>
                <w:szCs w:val="24"/>
                <w:lang w:val="az-Latn-AZ"/>
              </w:rPr>
              <w:t>Standartların Tələblərinə</w:t>
            </w:r>
            <w:r w:rsidR="003C64E0" w:rsidRPr="009C2EF2">
              <w:rPr>
                <w:color w:val="231F20"/>
                <w:spacing w:val="1"/>
                <w:sz w:val="24"/>
                <w:szCs w:val="24"/>
                <w:lang w:val="az-Latn-AZ"/>
              </w:rPr>
              <w:t xml:space="preserve"> </w:t>
            </w:r>
            <w:r>
              <w:rPr>
                <w:color w:val="231F20"/>
                <w:spacing w:val="1"/>
                <w:sz w:val="24"/>
                <w:szCs w:val="24"/>
                <w:lang w:val="az-Latn-AZ"/>
              </w:rPr>
              <w:t>Əməl Olunması</w:t>
            </w:r>
          </w:p>
        </w:tc>
        <w:tc>
          <w:tcPr>
            <w:tcW w:w="1701" w:type="dxa"/>
            <w:shd w:val="clear" w:color="auto" w:fill="E6E7E8"/>
          </w:tcPr>
          <w:p w:rsidR="00D02DD9" w:rsidRPr="009C2EF2" w:rsidRDefault="00D02DD9">
            <w:pPr>
              <w:pStyle w:val="TableParagraph"/>
              <w:kinsoku w:val="0"/>
              <w:overflowPunct w:val="0"/>
              <w:spacing w:before="4"/>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rsidP="00281953">
            <w:pPr>
              <w:pStyle w:val="TableParagraph"/>
              <w:kinsoku w:val="0"/>
              <w:overflowPunct w:val="0"/>
              <w:spacing w:before="122"/>
              <w:ind w:left="997" w:right="281"/>
              <w:jc w:val="right"/>
              <w:rPr>
                <w:sz w:val="24"/>
                <w:szCs w:val="24"/>
                <w:lang w:val="az-Latn-AZ"/>
              </w:rPr>
            </w:pPr>
            <w:r w:rsidRPr="009C2EF2">
              <w:rPr>
                <w:color w:val="231F20"/>
                <w:spacing w:val="-3"/>
                <w:w w:val="95"/>
                <w:sz w:val="24"/>
                <w:szCs w:val="24"/>
                <w:lang w:val="az-Latn-AZ"/>
              </w:rPr>
              <w:t>10</w:t>
            </w:r>
          </w:p>
        </w:tc>
      </w:tr>
      <w:tr w:rsidR="00D02DD9" w:rsidRPr="009C2EF2" w:rsidTr="00281953">
        <w:trPr>
          <w:trHeight w:hRule="exact" w:val="273"/>
        </w:trPr>
        <w:tc>
          <w:tcPr>
            <w:tcW w:w="4843" w:type="dxa"/>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Aktivlər və Passivlər</w:t>
            </w:r>
          </w:p>
        </w:tc>
        <w:tc>
          <w:tcPr>
            <w:tcW w:w="1701" w:type="dxa"/>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w w:val="95"/>
                <w:sz w:val="24"/>
                <w:szCs w:val="24"/>
                <w:lang w:val="az-Latn-AZ"/>
              </w:rPr>
              <w:t>20</w:t>
            </w:r>
          </w:p>
        </w:tc>
      </w:tr>
      <w:tr w:rsidR="00D02DD9" w:rsidRPr="009C2EF2" w:rsidTr="00281953">
        <w:trPr>
          <w:trHeight w:hRule="exact" w:val="273"/>
        </w:trPr>
        <w:tc>
          <w:tcPr>
            <w:tcW w:w="4843" w:type="dxa"/>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Qiymətləndirici</w:t>
            </w:r>
          </w:p>
        </w:tc>
        <w:tc>
          <w:tcPr>
            <w:tcW w:w="1701" w:type="dxa"/>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rsidTr="00281953">
        <w:trPr>
          <w:trHeight w:hRule="exact" w:val="273"/>
        </w:trPr>
        <w:tc>
          <w:tcPr>
            <w:tcW w:w="4843" w:type="dxa"/>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Obyektivlik</w:t>
            </w:r>
          </w:p>
        </w:tc>
        <w:tc>
          <w:tcPr>
            <w:tcW w:w="1701" w:type="dxa"/>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rsidTr="00281953">
        <w:trPr>
          <w:trHeight w:hRule="exact" w:val="273"/>
        </w:trPr>
        <w:tc>
          <w:tcPr>
            <w:tcW w:w="4843" w:type="dxa"/>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Səriştə</w:t>
            </w:r>
          </w:p>
        </w:tc>
        <w:tc>
          <w:tcPr>
            <w:tcW w:w="1701" w:type="dxa"/>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rsidTr="00281953">
        <w:trPr>
          <w:trHeight w:hRule="exact" w:val="487"/>
        </w:trPr>
        <w:tc>
          <w:tcPr>
            <w:tcW w:w="4843" w:type="dxa"/>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Kənarlaşmalar</w:t>
            </w:r>
          </w:p>
        </w:tc>
        <w:tc>
          <w:tcPr>
            <w:tcW w:w="1701" w:type="dxa"/>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bl>
    <w:p w:rsidR="00D02DD9" w:rsidRPr="009C2EF2" w:rsidRDefault="00281953">
      <w:pPr>
        <w:pStyle w:val="a3"/>
        <w:kinsoku w:val="0"/>
        <w:overflowPunct w:val="0"/>
        <w:spacing w:before="3"/>
        <w:ind w:left="0"/>
        <w:rPr>
          <w:rFonts w:ascii="Times New Roman" w:hAnsi="Times New Roman"/>
          <w:b/>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45088" behindDoc="0" locked="0" layoutInCell="0" allowOverlap="1" wp14:anchorId="037447A3" wp14:editId="1EECE27A">
                <wp:simplePos x="0" y="0"/>
                <wp:positionH relativeFrom="page">
                  <wp:posOffset>142875</wp:posOffset>
                </wp:positionH>
                <wp:positionV relativeFrom="paragraph">
                  <wp:posOffset>6349</wp:posOffset>
                </wp:positionV>
                <wp:extent cx="114300" cy="3819525"/>
                <wp:effectExtent l="0" t="0" r="0" b="952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81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953" w:rsidRPr="00281953" w:rsidRDefault="0072444D" w:rsidP="00281953">
                            <w:pPr>
                              <w:pStyle w:val="a3"/>
                              <w:kinsoku w:val="0"/>
                              <w:overflowPunct w:val="0"/>
                              <w:spacing w:line="226" w:lineRule="exact"/>
                              <w:ind w:left="20"/>
                              <w:rPr>
                                <w:b/>
                                <w:color w:val="FFFFFF"/>
                                <w:spacing w:val="1"/>
                                <w:w w:val="106"/>
                                <w:sz w:val="20"/>
                                <w:szCs w:val="24"/>
                                <w:lang w:val="az-Latn-AZ"/>
                              </w:rPr>
                            </w:pPr>
                            <w:r>
                              <w:rPr>
                                <w:b/>
                                <w:color w:val="FFFFFF"/>
                                <w:spacing w:val="1"/>
                                <w:w w:val="106"/>
                                <w:sz w:val="20"/>
                                <w:szCs w:val="24"/>
                                <w:lang w:val="az-Latn-AZ"/>
                              </w:rPr>
                              <w:t xml:space="preserve">Beynəlxalq Qiymətləndirmə Standartları (BQS) </w:t>
                            </w:r>
                            <w:r w:rsidR="00281953" w:rsidRPr="00281953">
                              <w:rPr>
                                <w:b/>
                                <w:color w:val="FFFFFF"/>
                                <w:spacing w:val="1"/>
                                <w:w w:val="106"/>
                                <w:sz w:val="20"/>
                                <w:szCs w:val="24"/>
                                <w:lang w:val="az-Latn-AZ"/>
                              </w:rPr>
                              <w:t>20</w:t>
                            </w:r>
                            <w:r w:rsidR="00281953">
                              <w:rPr>
                                <w:b/>
                                <w:color w:val="FFFFFF"/>
                                <w:spacing w:val="1"/>
                                <w:w w:val="106"/>
                                <w:sz w:val="20"/>
                                <w:szCs w:val="24"/>
                                <w:lang w:val="az-Latn-AZ"/>
                              </w:rPr>
                              <w:t>1</w:t>
                            </w:r>
                            <w:r w:rsidR="00281953" w:rsidRPr="00281953">
                              <w:rPr>
                                <w:b/>
                                <w:color w:val="FFFFFF"/>
                                <w:spacing w:val="1"/>
                                <w:w w:val="106"/>
                                <w:sz w:val="20"/>
                                <w:szCs w:val="24"/>
                                <w:lang w:val="az-Latn-AZ"/>
                              </w:rPr>
                              <w:t>7.</w:t>
                            </w:r>
                            <w:r w:rsidR="00281953" w:rsidRPr="00281953">
                              <w:rPr>
                                <w:b/>
                                <w:color w:val="FFFFFF"/>
                                <w:spacing w:val="1"/>
                                <w:w w:val="106"/>
                                <w:sz w:val="20"/>
                                <w:szCs w:val="24"/>
                                <w:lang w:val="az-Latn-AZ"/>
                              </w:rPr>
                              <w:tab/>
                              <w:t>Qiymətləndirmə üzrə Rəyçi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"Qiymətləndirmə rəyçisi" başqa qiymətləndiricinin işini yoxlayan peşəkar qiymətləndiricidir. Qiymətləndirməyə baxış zamanı peşəkar qiymətləndirici müvafiq qiymətləndirmə proseduralarını tətbiq edərək rəy bildirə bilər.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20.8.</w:t>
                            </w:r>
                            <w:r w:rsidRPr="00281953">
                              <w:rPr>
                                <w:b/>
                                <w:color w:val="FFFFFF"/>
                                <w:spacing w:val="1"/>
                                <w:w w:val="106"/>
                                <w:sz w:val="20"/>
                                <w:szCs w:val="24"/>
                                <w:lang w:val="az-Latn-AZ"/>
                              </w:rPr>
                              <w:tab/>
                              <w:t>Qiymətləndirici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"Qiymətləndirici" qiymətləndirməni obyektiv, müstəqil və səriştəli şəkildə həyata keçirə biləcək müvafiq ixtisaslı, qabiliyyətli və təcrübəsi olan şəxs, şəxslər qrupu və ya şirkətdir. Bəzi yurisdiksiyalara görə, qiymətləndirici kimi çıxış etmək üçün lisenziyalaşdırma tələb olunur.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20.9.</w:t>
                            </w:r>
                            <w:r w:rsidRPr="00281953">
                              <w:rPr>
                                <w:b/>
                                <w:color w:val="FFFFFF"/>
                                <w:spacing w:val="1"/>
                                <w:w w:val="106"/>
                                <w:sz w:val="20"/>
                                <w:szCs w:val="24"/>
                                <w:lang w:val="az-Latn-AZ"/>
                              </w:rPr>
                              <w:tab/>
                              <w:t>Çəki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"Çəki" anlayışı dəyərin müəyyənləşdirilməsi zamanı xüsusi dəyər göstəricisinin əhəmiyyətini ifadə edir (məsələn ayrı metoddan istifadə olunan zaman çəki 100% götürülür).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20.10.</w:t>
                            </w:r>
                            <w:r w:rsidRPr="00281953">
                              <w:rPr>
                                <w:b/>
                                <w:color w:val="FFFFFF"/>
                                <w:spacing w:val="1"/>
                                <w:w w:val="106"/>
                                <w:sz w:val="20"/>
                                <w:szCs w:val="24"/>
                                <w:lang w:val="az-Latn-AZ"/>
                              </w:rPr>
                              <w:tab/>
                              <w:t>Çəkinin müəyyən edilməsi</w:t>
                            </w:r>
                          </w:p>
                          <w:p w:rsidR="0072444D" w:rsidRPr="00281953" w:rsidRDefault="00281953" w:rsidP="00281953">
                            <w:pPr>
                              <w:pStyle w:val="a3"/>
                              <w:kinsoku w:val="0"/>
                              <w:overflowPunct w:val="0"/>
                              <w:spacing w:line="226" w:lineRule="exact"/>
                              <w:ind w:left="20"/>
                              <w:rPr>
                                <w:color w:val="000000"/>
                                <w:sz w:val="20"/>
                                <w:szCs w:val="24"/>
                                <w:lang w:val="az-Latn-AZ"/>
                              </w:rPr>
                            </w:pPr>
                            <w:r w:rsidRPr="00281953">
                              <w:rPr>
                                <w:b/>
                                <w:color w:val="FFFFFF"/>
                                <w:spacing w:val="1"/>
                                <w:w w:val="106"/>
                                <w:sz w:val="20"/>
                                <w:szCs w:val="24"/>
                                <w:lang w:val="az-Latn-AZ"/>
                              </w:rPr>
                              <w:t>"Çəkinin müəyyən edilməsi" anlayışı müxtəlif metod və/və ya yanaşmalardan əldə olunan fərqli dəyər göstəricilərinin təhlil prosesini nəzərdə tutur. Bu prosesə məqbul hesab edilmədiyinə görə orta qiymətləndirmələr daxil edilmir.</w:t>
                            </w:r>
                            <w:r>
                              <w:rPr>
                                <w:b/>
                                <w:color w:val="FFFFFF"/>
                                <w:spacing w:val="1"/>
                                <w:w w:val="106"/>
                                <w:sz w:val="20"/>
                                <w:szCs w:val="24"/>
                                <w:lang w:val="az-Latn-AZ"/>
                              </w:rPr>
                              <w:t>2017</w:t>
                            </w:r>
                            <w:r w:rsidR="0072444D">
                              <w:rPr>
                                <w:b/>
                                <w:color w:val="FFFFFF"/>
                                <w:spacing w:val="1"/>
                                <w:w w:val="106"/>
                                <w:sz w:val="20"/>
                                <w:szCs w:val="24"/>
                                <w:lang w:val="az-Latn-AZ"/>
                              </w:rPr>
                              <w:t>Çərçivəsi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47A3" id="Text Box 29" o:spid="_x0000_s1042" type="#_x0000_t202" style="position:absolute;margin-left:11.25pt;margin-top:.5pt;width:9pt;height:300.7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AsA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" o:allowincell="f" filled="f" stroked="f">
                <v:textbox style="layout-flow:vertical;mso-layout-flow-alt:bottom-to-top" inset="0,0,0,0">
                  <w:txbxContent>
                    <w:p w:rsidR="00281953" w:rsidRPr="00281953" w:rsidRDefault="0072444D" w:rsidP="00281953">
                      <w:pPr>
                        <w:pStyle w:val="a3"/>
                        <w:kinsoku w:val="0"/>
                        <w:overflowPunct w:val="0"/>
                        <w:spacing w:line="226" w:lineRule="exact"/>
                        <w:ind w:left="20"/>
                        <w:rPr>
                          <w:b/>
                          <w:color w:val="FFFFFF"/>
                          <w:spacing w:val="1"/>
                          <w:w w:val="106"/>
                          <w:sz w:val="20"/>
                          <w:szCs w:val="24"/>
                          <w:lang w:val="az-Latn-AZ"/>
                        </w:rPr>
                      </w:pPr>
                      <w:r>
                        <w:rPr>
                          <w:b/>
                          <w:color w:val="FFFFFF"/>
                          <w:spacing w:val="1"/>
                          <w:w w:val="106"/>
                          <w:sz w:val="20"/>
                          <w:szCs w:val="24"/>
                          <w:lang w:val="az-Latn-AZ"/>
                        </w:rPr>
                        <w:t xml:space="preserve">Beynəlxalq Qiymətləndirmə Standartları (BQS) </w:t>
                      </w:r>
                      <w:r w:rsidR="00281953" w:rsidRPr="00281953">
                        <w:rPr>
                          <w:b/>
                          <w:color w:val="FFFFFF"/>
                          <w:spacing w:val="1"/>
                          <w:w w:val="106"/>
                          <w:sz w:val="20"/>
                          <w:szCs w:val="24"/>
                          <w:lang w:val="az-Latn-AZ"/>
                        </w:rPr>
                        <w:t>20</w:t>
                      </w:r>
                      <w:r w:rsidR="00281953">
                        <w:rPr>
                          <w:b/>
                          <w:color w:val="FFFFFF"/>
                          <w:spacing w:val="1"/>
                          <w:w w:val="106"/>
                          <w:sz w:val="20"/>
                          <w:szCs w:val="24"/>
                          <w:lang w:val="az-Latn-AZ"/>
                        </w:rPr>
                        <w:t>1</w:t>
                      </w:r>
                      <w:r w:rsidR="00281953" w:rsidRPr="00281953">
                        <w:rPr>
                          <w:b/>
                          <w:color w:val="FFFFFF"/>
                          <w:spacing w:val="1"/>
                          <w:w w:val="106"/>
                          <w:sz w:val="20"/>
                          <w:szCs w:val="24"/>
                          <w:lang w:val="az-Latn-AZ"/>
                        </w:rPr>
                        <w:t>7.</w:t>
                      </w:r>
                      <w:r w:rsidR="00281953" w:rsidRPr="00281953">
                        <w:rPr>
                          <w:b/>
                          <w:color w:val="FFFFFF"/>
                          <w:spacing w:val="1"/>
                          <w:w w:val="106"/>
                          <w:sz w:val="20"/>
                          <w:szCs w:val="24"/>
                          <w:lang w:val="az-Latn-AZ"/>
                        </w:rPr>
                        <w:tab/>
                        <w:t>Qiymətləndirmə üzrə Rəyçi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"Qiymətləndirmə rəyçisi" başqa qiymətləndiricinin işini yoxlayan peşəkar qiymətləndiricidir. Qiymətləndirməyə baxış zamanı peşəkar qiymətləndirici müvafiq qiymətləndirmə proseduralarını tətbiq edərək rəy bildirə bilər.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20.8.</w:t>
                      </w:r>
                      <w:r w:rsidRPr="00281953">
                        <w:rPr>
                          <w:b/>
                          <w:color w:val="FFFFFF"/>
                          <w:spacing w:val="1"/>
                          <w:w w:val="106"/>
                          <w:sz w:val="20"/>
                          <w:szCs w:val="24"/>
                          <w:lang w:val="az-Latn-AZ"/>
                        </w:rPr>
                        <w:tab/>
                        <w:t>Qiymətləndirici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"Qiymətləndirici" qiymətləndirməni obyektiv, müstəqil və səriştəli şəkildə həyata keçirə biləcək müvafiq ixtisaslı, qabiliyyətli və təcrübəsi olan şəxs, şəxslər qrupu və ya şirkətdir. Bəzi yurisdiksiyalara görə, qiymətləndirici kimi çıxış etmək üçün lisenziyalaşdırma tələb olunur.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20.9.</w:t>
                      </w:r>
                      <w:r w:rsidRPr="00281953">
                        <w:rPr>
                          <w:b/>
                          <w:color w:val="FFFFFF"/>
                          <w:spacing w:val="1"/>
                          <w:w w:val="106"/>
                          <w:sz w:val="20"/>
                          <w:szCs w:val="24"/>
                          <w:lang w:val="az-Latn-AZ"/>
                        </w:rPr>
                        <w:tab/>
                        <w:t>Çəki</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"Çəki" anlayışı dəyərin müəyyənləşdirilməsi zamanı xüsusi dəyər göstəricisinin əhəmiyyətini ifadə edir (məsələn ayrı metoddan istifadə olunan zaman çəki 100% götürülür).</w:t>
                      </w: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p>
                    <w:p w:rsidR="00281953" w:rsidRPr="00281953" w:rsidRDefault="00281953" w:rsidP="00281953">
                      <w:pPr>
                        <w:pStyle w:val="a3"/>
                        <w:kinsoku w:val="0"/>
                        <w:overflowPunct w:val="0"/>
                        <w:spacing w:line="226" w:lineRule="exact"/>
                        <w:ind w:left="20"/>
                        <w:rPr>
                          <w:b/>
                          <w:color w:val="FFFFFF"/>
                          <w:spacing w:val="1"/>
                          <w:w w:val="106"/>
                          <w:sz w:val="20"/>
                          <w:szCs w:val="24"/>
                          <w:lang w:val="az-Latn-AZ"/>
                        </w:rPr>
                      </w:pPr>
                      <w:r w:rsidRPr="00281953">
                        <w:rPr>
                          <w:b/>
                          <w:color w:val="FFFFFF"/>
                          <w:spacing w:val="1"/>
                          <w:w w:val="106"/>
                          <w:sz w:val="20"/>
                          <w:szCs w:val="24"/>
                          <w:lang w:val="az-Latn-AZ"/>
                        </w:rPr>
                        <w:t>20.10.</w:t>
                      </w:r>
                      <w:r w:rsidRPr="00281953">
                        <w:rPr>
                          <w:b/>
                          <w:color w:val="FFFFFF"/>
                          <w:spacing w:val="1"/>
                          <w:w w:val="106"/>
                          <w:sz w:val="20"/>
                          <w:szCs w:val="24"/>
                          <w:lang w:val="az-Latn-AZ"/>
                        </w:rPr>
                        <w:tab/>
                        <w:t>Çəkinin müəyyən edilməsi</w:t>
                      </w:r>
                    </w:p>
                    <w:p w:rsidR="0072444D" w:rsidRPr="00281953" w:rsidRDefault="00281953" w:rsidP="00281953">
                      <w:pPr>
                        <w:pStyle w:val="a3"/>
                        <w:kinsoku w:val="0"/>
                        <w:overflowPunct w:val="0"/>
                        <w:spacing w:line="226" w:lineRule="exact"/>
                        <w:ind w:left="20"/>
                        <w:rPr>
                          <w:color w:val="000000"/>
                          <w:sz w:val="20"/>
                          <w:szCs w:val="24"/>
                          <w:lang w:val="az-Latn-AZ"/>
                        </w:rPr>
                      </w:pPr>
                      <w:r w:rsidRPr="00281953">
                        <w:rPr>
                          <w:b/>
                          <w:color w:val="FFFFFF"/>
                          <w:spacing w:val="1"/>
                          <w:w w:val="106"/>
                          <w:sz w:val="20"/>
                          <w:szCs w:val="24"/>
                          <w:lang w:val="az-Latn-AZ"/>
                        </w:rPr>
                        <w:t>"Çəkinin müəyyən edilməsi" anlayışı müxtəlif metod və/və ya yanaşmalardan əldə olunan fərqli dəyər göstəricilərinin təhlil prosesini nəzərdə tutur. Bu prosesə məqbul hesab edilmədiyinə görə orta qiymətləndirmələr daxil edilmir.</w:t>
                      </w:r>
                      <w:r>
                        <w:rPr>
                          <w:b/>
                          <w:color w:val="FFFFFF"/>
                          <w:spacing w:val="1"/>
                          <w:w w:val="106"/>
                          <w:sz w:val="20"/>
                          <w:szCs w:val="24"/>
                          <w:lang w:val="az-Latn-AZ"/>
                        </w:rPr>
                        <w:t>2017</w:t>
                      </w:r>
                      <w:r w:rsidR="0072444D">
                        <w:rPr>
                          <w:b/>
                          <w:color w:val="FFFFFF"/>
                          <w:spacing w:val="1"/>
                          <w:w w:val="106"/>
                          <w:sz w:val="20"/>
                          <w:szCs w:val="24"/>
                          <w:lang w:val="az-Latn-AZ"/>
                        </w:rPr>
                        <w:t>Çərçivəsi</w:t>
                      </w:r>
                    </w:p>
                  </w:txbxContent>
                </v:textbox>
                <w10:wrap anchorx="page"/>
              </v:shape>
            </w:pict>
          </mc:Fallback>
        </mc:AlternateContent>
      </w:r>
    </w:p>
    <w:p w:rsidR="00D02DD9" w:rsidRPr="009C2EF2" w:rsidRDefault="003C64E0">
      <w:pPr>
        <w:pStyle w:val="Heading41"/>
        <w:numPr>
          <w:ilvl w:val="0"/>
          <w:numId w:val="117"/>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Standartlar</w:t>
      </w:r>
      <w:r w:rsidR="008C4BB4">
        <w:rPr>
          <w:rFonts w:ascii="Times New Roman" w:hAnsi="Times New Roman"/>
          <w:color w:val="231F20"/>
          <w:spacing w:val="1"/>
          <w:sz w:val="24"/>
          <w:szCs w:val="24"/>
          <w:lang w:val="az-Latn-AZ"/>
        </w:rPr>
        <w:t>ın Tələblərinə Əməl Olunması</w:t>
      </w:r>
    </w:p>
    <w:p w:rsidR="00D02DD9" w:rsidRPr="009C2EF2" w:rsidRDefault="00DE33E4" w:rsidP="008C4BB4">
      <w:pPr>
        <w:pStyle w:val="a3"/>
        <w:numPr>
          <w:ilvl w:val="1"/>
          <w:numId w:val="117"/>
        </w:numPr>
        <w:tabs>
          <w:tab w:val="left" w:pos="1531"/>
        </w:tabs>
        <w:kinsoku w:val="0"/>
        <w:overflowPunct w:val="0"/>
        <w:spacing w:before="122" w:line="250" w:lineRule="auto"/>
        <w:ind w:right="459"/>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Qiymətləndirmənin BQS-ə</w:t>
      </w:r>
      <w:r w:rsidR="003C64E0" w:rsidRPr="009C2EF2">
        <w:rPr>
          <w:rFonts w:ascii="Times New Roman" w:hAnsi="Times New Roman"/>
          <w:color w:val="231F20"/>
          <w:spacing w:val="1"/>
          <w:sz w:val="24"/>
          <w:szCs w:val="24"/>
          <w:lang w:val="az-Latn-AZ"/>
        </w:rPr>
        <w:t xml:space="preserve"> uyğun aparılacağı və ya aparılmış olması qiymətləndirmənin BQSŞ tərəfindən müəyyən edilmiş müvafiq standartlara uyğun hazırlandığını göstərir.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16"/>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Aktivlər və Passivlər</w:t>
      </w:r>
    </w:p>
    <w:p w:rsidR="00D02DD9" w:rsidRPr="009C2EF2" w:rsidRDefault="003C64E0" w:rsidP="008C4BB4">
      <w:pPr>
        <w:pStyle w:val="a3"/>
        <w:numPr>
          <w:ilvl w:val="1"/>
          <w:numId w:val="116"/>
        </w:numPr>
        <w:tabs>
          <w:tab w:val="left" w:pos="1531"/>
        </w:tabs>
        <w:kinsoku w:val="0"/>
        <w:overflowPunct w:val="0"/>
        <w:spacing w:before="122" w:line="250" w:lineRule="auto"/>
        <w:ind w:right="45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standartlar həm </w:t>
      </w:r>
      <w:r w:rsidRPr="009C2EF2">
        <w:rPr>
          <w:rFonts w:ascii="Times New Roman" w:hAnsi="Times New Roman"/>
          <w:i/>
          <w:color w:val="231F20"/>
          <w:sz w:val="24"/>
          <w:szCs w:val="24"/>
          <w:lang w:val="az-Latn-AZ"/>
        </w:rPr>
        <w:t>aktivlərin</w:t>
      </w:r>
      <w:r w:rsidRPr="009C2EF2">
        <w:rPr>
          <w:rFonts w:ascii="Times New Roman" w:hAnsi="Times New Roman"/>
          <w:color w:val="231F20"/>
          <w:sz w:val="24"/>
          <w:szCs w:val="24"/>
          <w:lang w:val="az-Latn-AZ"/>
        </w:rPr>
        <w:t xml:space="preserve">, həm də passivlərin qiymətləndirilməsi zamanı tətbiq oluna bilər. Bu standartların daha asan başa düşülməsi üçün,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 xml:space="preserve"> və ya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anlayışı passiv və ya passivlər,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qrupu, passivlər və ya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və passivlər kimi (başqa halların nəzərdə tutulmadığı təqdirdə və ya passivlərin istisna edildiyi kontekstdən aydın şəkildə görünmədiyi halda) izah olunur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15"/>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Qiymətləndirici</w:t>
      </w:r>
    </w:p>
    <w:p w:rsidR="00D02DD9" w:rsidRPr="009C2EF2" w:rsidRDefault="003C64E0" w:rsidP="008C4BB4">
      <w:pPr>
        <w:pStyle w:val="a3"/>
        <w:numPr>
          <w:ilvl w:val="1"/>
          <w:numId w:val="115"/>
        </w:numPr>
        <w:tabs>
          <w:tab w:val="left" w:pos="1531"/>
        </w:tabs>
        <w:kinsoku w:val="0"/>
        <w:overflowPunct w:val="0"/>
        <w:spacing w:before="122" w:line="250" w:lineRule="auto"/>
        <w:ind w:right="459"/>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Qiymətləndirici</w:t>
      </w:r>
      <w:r w:rsidRPr="009C2EF2">
        <w:rPr>
          <w:rFonts w:ascii="Times New Roman" w:hAnsi="Times New Roman"/>
          <w:color w:val="231F20"/>
          <w:sz w:val="24"/>
          <w:szCs w:val="24"/>
          <w:lang w:val="az-Latn-AZ"/>
        </w:rPr>
        <w:t xml:space="preserve"> qiymətləndirməni obyektiv, müstəqil və səriştəli şəkildə həyata keçirə biləcək müvafiq ixtisaslı, qabiliyyətli və təcrübəsi olan şəxs, şəxslər qrupu və ya şirkətdir. Bəzi </w:t>
      </w:r>
      <w:r w:rsidRPr="009C2EF2">
        <w:rPr>
          <w:rFonts w:ascii="Times New Roman" w:hAnsi="Times New Roman"/>
          <w:i/>
          <w:color w:val="231F20"/>
          <w:sz w:val="24"/>
          <w:szCs w:val="24"/>
          <w:lang w:val="az-Latn-AZ"/>
        </w:rPr>
        <w:t xml:space="preserve">yurisdiksiyalara </w:t>
      </w:r>
      <w:r w:rsidRPr="009C2EF2">
        <w:rPr>
          <w:rFonts w:ascii="Times New Roman" w:hAnsi="Times New Roman"/>
          <w:color w:val="231F20"/>
          <w:sz w:val="24"/>
          <w:szCs w:val="24"/>
          <w:lang w:val="az-Latn-AZ"/>
        </w:rPr>
        <w:t xml:space="preserve">görə, </w:t>
      </w:r>
      <w:r w:rsidRPr="009C2EF2">
        <w:rPr>
          <w:rFonts w:ascii="Times New Roman" w:hAnsi="Times New Roman"/>
          <w:i/>
          <w:color w:val="231F20"/>
          <w:spacing w:val="-2"/>
          <w:sz w:val="24"/>
          <w:szCs w:val="24"/>
          <w:lang w:val="az-Latn-AZ"/>
        </w:rPr>
        <w:t>qiymətləndirici</w:t>
      </w:r>
      <w:r w:rsidRPr="009C2EF2">
        <w:rPr>
          <w:rFonts w:ascii="Times New Roman" w:hAnsi="Times New Roman"/>
          <w:color w:val="231F20"/>
          <w:sz w:val="24"/>
          <w:szCs w:val="24"/>
          <w:lang w:val="az-Latn-AZ"/>
        </w:rPr>
        <w:t xml:space="preserve"> kimi çıxış etmək üçün lisenz</w:t>
      </w:r>
      <w:r w:rsidR="00C73947" w:rsidRPr="009C2EF2">
        <w:rPr>
          <w:rFonts w:ascii="Times New Roman" w:hAnsi="Times New Roman"/>
          <w:color w:val="231F20"/>
          <w:sz w:val="24"/>
          <w:szCs w:val="24"/>
          <w:lang w:val="az-Latn-AZ"/>
        </w:rPr>
        <w:t xml:space="preserve">iyalaşdırma tələb olunur. Belə ki, </w:t>
      </w:r>
      <w:r w:rsidRPr="009C2EF2">
        <w:rPr>
          <w:rFonts w:ascii="Times New Roman" w:hAnsi="Times New Roman"/>
          <w:color w:val="231F20"/>
          <w:sz w:val="24"/>
          <w:szCs w:val="24"/>
          <w:lang w:val="az-Latn-AZ"/>
        </w:rPr>
        <w:t xml:space="preserve">qiymətləndirmə üzrə rəyçi də </w:t>
      </w:r>
      <w:r w:rsidRPr="009C2EF2">
        <w:rPr>
          <w:rFonts w:ascii="Times New Roman" w:hAnsi="Times New Roman"/>
          <w:i/>
          <w:color w:val="231F20"/>
          <w:spacing w:val="-2"/>
          <w:sz w:val="24"/>
          <w:szCs w:val="24"/>
          <w:lang w:val="az-Latn-AZ"/>
        </w:rPr>
        <w:t>qiymətləndirici</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olmalıdır</w:t>
      </w:r>
      <w:r w:rsidRPr="009C2EF2">
        <w:rPr>
          <w:rFonts w:ascii="Times New Roman" w:hAnsi="Times New Roman"/>
          <w:color w:val="231F20"/>
          <w:sz w:val="24"/>
          <w:szCs w:val="24"/>
          <w:lang w:val="az-Latn-AZ"/>
        </w:rPr>
        <w:t xml:space="preserve">, bu standartların daha asan başa düşülməsi üçün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anlayışına, </w:t>
      </w:r>
      <w:r w:rsidRPr="009C2EF2">
        <w:rPr>
          <w:rFonts w:ascii="Times New Roman" w:hAnsi="Times New Roman"/>
          <w:i/>
          <w:color w:val="231F20"/>
          <w:sz w:val="24"/>
          <w:szCs w:val="24"/>
          <w:lang w:val="az-Latn-AZ"/>
        </w:rPr>
        <w:t>başqa hallar nəzərdə tutulmadığı təqdirdə,</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qiymətləndirmə üzrə rəyçilər </w:t>
      </w:r>
      <w:r w:rsidRPr="009C2EF2">
        <w:rPr>
          <w:rFonts w:ascii="Times New Roman" w:hAnsi="Times New Roman"/>
          <w:color w:val="231F20"/>
          <w:sz w:val="24"/>
          <w:szCs w:val="24"/>
          <w:lang w:val="az-Latn-AZ"/>
        </w:rPr>
        <w:t>də daxil edilir.</w:t>
      </w:r>
    </w:p>
    <w:p w:rsidR="00D02DD9" w:rsidRDefault="00D02DD9" w:rsidP="008C4BB4">
      <w:pPr>
        <w:pStyle w:val="a3"/>
        <w:kinsoku w:val="0"/>
        <w:overflowPunct w:val="0"/>
        <w:spacing w:before="9"/>
        <w:ind w:left="851"/>
        <w:rPr>
          <w:rFonts w:ascii="Times New Roman" w:hAnsi="Times New Roman"/>
          <w:sz w:val="24"/>
          <w:szCs w:val="24"/>
          <w:lang w:val="az-Latn-AZ"/>
        </w:rPr>
      </w:pPr>
    </w:p>
    <w:p w:rsidR="008C4BB4" w:rsidRDefault="008C4BB4" w:rsidP="008C4BB4">
      <w:pPr>
        <w:pStyle w:val="a3"/>
        <w:kinsoku w:val="0"/>
        <w:overflowPunct w:val="0"/>
        <w:spacing w:before="9"/>
        <w:ind w:left="851"/>
        <w:rPr>
          <w:rFonts w:ascii="Times New Roman" w:hAnsi="Times New Roman"/>
          <w:sz w:val="24"/>
          <w:szCs w:val="24"/>
          <w:lang w:val="az-Latn-AZ"/>
        </w:rPr>
      </w:pPr>
    </w:p>
    <w:p w:rsidR="008C4BB4" w:rsidRPr="009C2EF2" w:rsidRDefault="008C4BB4" w:rsidP="008C4BB4">
      <w:pPr>
        <w:pStyle w:val="a3"/>
        <w:kinsoku w:val="0"/>
        <w:overflowPunct w:val="0"/>
        <w:spacing w:before="9"/>
        <w:ind w:left="851"/>
        <w:rPr>
          <w:rFonts w:ascii="Times New Roman" w:hAnsi="Times New Roman"/>
          <w:sz w:val="24"/>
          <w:szCs w:val="24"/>
          <w:lang w:val="az-Latn-AZ"/>
        </w:rPr>
      </w:pPr>
    </w:p>
    <w:p w:rsidR="00D02DD9" w:rsidRPr="009C2EF2" w:rsidRDefault="003C64E0">
      <w:pPr>
        <w:pStyle w:val="Heading41"/>
        <w:numPr>
          <w:ilvl w:val="0"/>
          <w:numId w:val="114"/>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Obyektivlik</w:t>
      </w:r>
    </w:p>
    <w:p w:rsidR="00D02DD9" w:rsidRPr="009C2EF2" w:rsidRDefault="003C64E0" w:rsidP="008C4BB4">
      <w:pPr>
        <w:pStyle w:val="a3"/>
        <w:numPr>
          <w:ilvl w:val="1"/>
          <w:numId w:val="114"/>
        </w:numPr>
        <w:tabs>
          <w:tab w:val="left" w:pos="1531"/>
        </w:tabs>
        <w:kinsoku w:val="0"/>
        <w:overflowPunct w:val="0"/>
        <w:spacing w:before="122" w:line="250" w:lineRule="auto"/>
        <w:ind w:right="45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prosesi </w:t>
      </w:r>
      <w:r w:rsidRPr="009C2EF2">
        <w:rPr>
          <w:rFonts w:ascii="Times New Roman" w:hAnsi="Times New Roman"/>
          <w:i/>
          <w:color w:val="231F20"/>
          <w:sz w:val="24"/>
          <w:szCs w:val="24"/>
          <w:lang w:val="az-Latn-AZ"/>
        </w:rPr>
        <w:t xml:space="preserve">qiymətləndiricidən </w:t>
      </w:r>
      <w:r w:rsidRPr="009C2EF2">
        <w:rPr>
          <w:rFonts w:ascii="Times New Roman" w:hAnsi="Times New Roman"/>
          <w:color w:val="231F20"/>
          <w:sz w:val="24"/>
          <w:szCs w:val="24"/>
          <w:lang w:val="az-Latn-AZ"/>
        </w:rPr>
        <w:t xml:space="preserve">ilkin məlumatların və fərziyyələrin etibarlılığına dair qərəzsiz mühakimələrin aparılmasını tələb edir. Qiymətləndirmənin etibarlı olması üçün belə mühakimələrin şəffaflığı artıran və subyektiv amillərin prosesə təsirini azaldan şəkildə aparılması vacibdir. Qiymətləndirmə zamanı istifadə olunan mühakimə qərəzli analizlərdən, fikirlərdən və nəticələrdən uzaq olmaq üçün obyektiv şəkildə tətbiq </w:t>
      </w:r>
      <w:r w:rsidRPr="009C2EF2">
        <w:rPr>
          <w:rFonts w:ascii="Times New Roman" w:hAnsi="Times New Roman"/>
          <w:i/>
          <w:color w:val="231F20"/>
          <w:sz w:val="24"/>
          <w:szCs w:val="24"/>
          <w:lang w:val="az-Latn-AZ"/>
        </w:rPr>
        <w:t>olunmalıdır</w:t>
      </w:r>
      <w:r w:rsidRPr="009C2EF2">
        <w:rPr>
          <w:rFonts w:ascii="Times New Roman" w:hAnsi="Times New Roman"/>
          <w:color w:val="231F20"/>
          <w:sz w:val="24"/>
          <w:szCs w:val="24"/>
          <w:lang w:val="az-Latn-AZ"/>
        </w:rPr>
        <w:t>.</w:t>
      </w:r>
    </w:p>
    <w:p w:rsidR="00D02DD9" w:rsidRDefault="00D02DD9" w:rsidP="006E759E">
      <w:pPr>
        <w:pStyle w:val="a3"/>
        <w:tabs>
          <w:tab w:val="left" w:pos="1531"/>
        </w:tabs>
        <w:kinsoku w:val="0"/>
        <w:overflowPunct w:val="0"/>
        <w:spacing w:before="122" w:line="250" w:lineRule="auto"/>
        <w:ind w:right="116"/>
        <w:rPr>
          <w:rFonts w:ascii="Times New Roman" w:hAnsi="Times New Roman"/>
          <w:color w:val="000000"/>
          <w:sz w:val="24"/>
          <w:szCs w:val="24"/>
          <w:lang w:val="az-Latn-AZ"/>
        </w:rPr>
      </w:pPr>
    </w:p>
    <w:p w:rsidR="006E759E" w:rsidRPr="009C2EF2" w:rsidRDefault="006E759E" w:rsidP="006E759E">
      <w:pPr>
        <w:pStyle w:val="a3"/>
        <w:numPr>
          <w:ilvl w:val="1"/>
          <w:numId w:val="114"/>
        </w:numPr>
        <w:tabs>
          <w:tab w:val="left" w:pos="1560"/>
        </w:tabs>
        <w:kinsoku w:val="0"/>
        <w:overflowPunct w:val="0"/>
        <w:spacing w:before="77" w:line="250" w:lineRule="auto"/>
        <w:ind w:left="1418" w:right="45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standartların tətbiqi zamanı qiymətləndirmə prosesinin obyektiv aparıldığından əmin olmaq üçün müvafiq nəzarət və proseduraların təmin edilməsi, beləliklə də nəticələrin qərəzsiz olması əsas gözləntidir. BQSŞ </w:t>
      </w:r>
      <w:r w:rsidRPr="009C2EF2">
        <w:rPr>
          <w:rFonts w:ascii="Times New Roman" w:hAnsi="Times New Roman"/>
          <w:i/>
          <w:color w:val="231F20"/>
          <w:spacing w:val="1"/>
          <w:sz w:val="24"/>
          <w:szCs w:val="24"/>
          <w:lang w:val="az-Latn-AZ"/>
        </w:rPr>
        <w:t xml:space="preserve">Peşəkar Qiymətləndiricilər üzrə Etik Prinsiplər Məcəlləsi </w:t>
      </w:r>
      <w:r w:rsidRPr="009C2EF2">
        <w:rPr>
          <w:rFonts w:ascii="Times New Roman" w:hAnsi="Times New Roman"/>
          <w:color w:val="231F20"/>
          <w:sz w:val="24"/>
          <w:szCs w:val="24"/>
          <w:lang w:val="az-Latn-AZ"/>
        </w:rPr>
        <w:t>peşə etikası ilə bağlı nümunə verir.</w:t>
      </w:r>
    </w:p>
    <w:p w:rsidR="006E759E" w:rsidRPr="009C2EF2" w:rsidRDefault="006E759E" w:rsidP="006E759E">
      <w:pPr>
        <w:pStyle w:val="a3"/>
        <w:kinsoku w:val="0"/>
        <w:overflowPunct w:val="0"/>
        <w:spacing w:before="9"/>
        <w:ind w:left="0"/>
        <w:rPr>
          <w:rFonts w:ascii="Times New Roman" w:hAnsi="Times New Roman"/>
          <w:sz w:val="24"/>
          <w:szCs w:val="24"/>
          <w:lang w:val="az-Latn-AZ"/>
        </w:rPr>
      </w:pPr>
    </w:p>
    <w:p w:rsidR="006E759E" w:rsidRPr="009C2EF2" w:rsidRDefault="006E759E" w:rsidP="006E759E">
      <w:pPr>
        <w:pStyle w:val="Heading41"/>
        <w:numPr>
          <w:ilvl w:val="0"/>
          <w:numId w:val="113"/>
        </w:numPr>
        <w:tabs>
          <w:tab w:val="left" w:pos="1560"/>
        </w:tabs>
        <w:kinsoku w:val="0"/>
        <w:overflowPunct w:val="0"/>
        <w:ind w:left="1418"/>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Səriştə</w:t>
      </w:r>
    </w:p>
    <w:p w:rsidR="006E759E" w:rsidRPr="009C2EF2" w:rsidRDefault="006E759E" w:rsidP="006E759E">
      <w:pPr>
        <w:pStyle w:val="a3"/>
        <w:numPr>
          <w:ilvl w:val="1"/>
          <w:numId w:val="113"/>
        </w:numPr>
        <w:tabs>
          <w:tab w:val="left" w:pos="993"/>
          <w:tab w:val="left" w:pos="6379"/>
        </w:tabs>
        <w:kinsoku w:val="0"/>
        <w:overflowPunct w:val="0"/>
        <w:spacing w:before="122" w:line="250" w:lineRule="auto"/>
        <w:ind w:left="1418" w:right="459"/>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hesabatı müvafiq texniki bilikləri və təcrübəsi olan, qiymətləndirmə predmetini və onun dövriyyədə olduğu bazarı, habelə </w:t>
      </w:r>
      <w:r w:rsidRPr="009C2EF2">
        <w:rPr>
          <w:rFonts w:ascii="Times New Roman" w:hAnsi="Times New Roman"/>
          <w:i/>
          <w:color w:val="231F20"/>
          <w:spacing w:val="1"/>
          <w:sz w:val="24"/>
          <w:szCs w:val="24"/>
          <w:lang w:val="az-Latn-AZ"/>
        </w:rPr>
        <w:t>qiymətləndirmənin məqsədini</w:t>
      </w:r>
      <w:r w:rsidRPr="009C2EF2">
        <w:rPr>
          <w:rFonts w:ascii="Times New Roman" w:hAnsi="Times New Roman"/>
          <w:color w:val="231F20"/>
          <w:spacing w:val="-1"/>
          <w:sz w:val="24"/>
          <w:szCs w:val="24"/>
          <w:lang w:val="az-Latn-AZ"/>
        </w:rPr>
        <w:t xml:space="preserve"> bilən şəxs və ya şirkət tərəfindən </w:t>
      </w:r>
      <w:r w:rsidRPr="009C2EF2">
        <w:rPr>
          <w:rFonts w:ascii="Times New Roman" w:hAnsi="Times New Roman"/>
          <w:i/>
          <w:color w:val="231F20"/>
          <w:sz w:val="24"/>
          <w:szCs w:val="24"/>
          <w:lang w:val="az-Latn-AZ"/>
        </w:rPr>
        <w:t>hazırlanmalıdır</w:t>
      </w:r>
      <w:r w:rsidRPr="009C2EF2">
        <w:rPr>
          <w:rFonts w:ascii="Times New Roman" w:hAnsi="Times New Roman"/>
          <w:color w:val="231F20"/>
          <w:spacing w:val="-1"/>
          <w:sz w:val="24"/>
          <w:szCs w:val="24"/>
          <w:lang w:val="az-Latn-AZ"/>
        </w:rPr>
        <w:t>.</w:t>
      </w:r>
    </w:p>
    <w:p w:rsidR="006E759E" w:rsidRPr="009C2EF2" w:rsidRDefault="006E759E" w:rsidP="006E759E">
      <w:pPr>
        <w:pStyle w:val="a3"/>
        <w:kinsoku w:val="0"/>
        <w:overflowPunct w:val="0"/>
        <w:spacing w:before="9"/>
        <w:ind w:left="0"/>
        <w:rPr>
          <w:rFonts w:ascii="Times New Roman" w:hAnsi="Times New Roman"/>
          <w:sz w:val="24"/>
          <w:szCs w:val="24"/>
          <w:lang w:val="az-Latn-AZ"/>
        </w:rPr>
      </w:pPr>
    </w:p>
    <w:p w:rsidR="006E759E" w:rsidRPr="009C2EF2" w:rsidRDefault="006E759E" w:rsidP="006E759E">
      <w:pPr>
        <w:pStyle w:val="a3"/>
        <w:numPr>
          <w:ilvl w:val="1"/>
          <w:numId w:val="113"/>
        </w:numPr>
        <w:tabs>
          <w:tab w:val="left" w:pos="1276"/>
        </w:tabs>
        <w:kinsoku w:val="0"/>
        <w:overflowPunct w:val="0"/>
        <w:spacing w:line="250" w:lineRule="auto"/>
        <w:ind w:left="1418" w:right="45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Əgər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qiymətləndirmə aspektlərinin həyata keçirilməsi üzrə lazımi texniki biliyə, bacarığa və təcrübəyə malik deyilsə,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tapşırığın müəyyən aspektləri üzrə mütəxəssislərdən yardım alması məqbuldur, o halda ki, bu işin əhatə dairəsində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açıqlanmış və hesabatda (BQS 103 </w:t>
      </w:r>
      <w:r w:rsidRPr="009C2EF2">
        <w:rPr>
          <w:rFonts w:ascii="Times New Roman" w:hAnsi="Times New Roman"/>
          <w:i/>
          <w:color w:val="231F20"/>
          <w:sz w:val="24"/>
          <w:szCs w:val="24"/>
          <w:lang w:val="az-Latn-AZ"/>
        </w:rPr>
        <w:t>Hesabatına</w:t>
      </w:r>
      <w:r w:rsidRPr="009C2EF2">
        <w:rPr>
          <w:rFonts w:ascii="Times New Roman" w:hAnsi="Times New Roman"/>
          <w:color w:val="231F20"/>
          <w:sz w:val="24"/>
          <w:szCs w:val="24"/>
          <w:lang w:val="az-Latn-AZ"/>
        </w:rPr>
        <w:t xml:space="preserve"> baxın) göstərilmiş olsun.</w:t>
      </w:r>
    </w:p>
    <w:p w:rsidR="006E759E" w:rsidRPr="009C2EF2" w:rsidRDefault="006E759E" w:rsidP="006E759E">
      <w:pPr>
        <w:pStyle w:val="a3"/>
        <w:kinsoku w:val="0"/>
        <w:overflowPunct w:val="0"/>
        <w:spacing w:before="9"/>
        <w:ind w:left="0"/>
        <w:rPr>
          <w:rFonts w:ascii="Times New Roman" w:hAnsi="Times New Roman"/>
          <w:sz w:val="24"/>
          <w:szCs w:val="24"/>
          <w:lang w:val="az-Latn-AZ"/>
        </w:rPr>
      </w:pPr>
    </w:p>
    <w:p w:rsidR="006E759E" w:rsidRPr="009C2EF2" w:rsidRDefault="006E759E" w:rsidP="006E759E">
      <w:pPr>
        <w:pStyle w:val="a3"/>
        <w:numPr>
          <w:ilvl w:val="1"/>
          <w:numId w:val="113"/>
        </w:numPr>
        <w:tabs>
          <w:tab w:val="left" w:pos="851"/>
        </w:tabs>
        <w:kinsoku w:val="0"/>
        <w:overflowPunct w:val="0"/>
        <w:spacing w:line="250" w:lineRule="auto"/>
        <w:ind w:left="1418" w:right="459"/>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mütəxəssislərin işini anlamaq, izah etmək və tətbiq etmək üçün texniki biliyə, bacarığa və təcrübəyə malik olmalıdır.</w:t>
      </w:r>
    </w:p>
    <w:p w:rsidR="006E759E" w:rsidRPr="009C2EF2" w:rsidRDefault="006E759E" w:rsidP="006E759E">
      <w:pPr>
        <w:pStyle w:val="a3"/>
        <w:tabs>
          <w:tab w:val="left" w:pos="1531"/>
        </w:tabs>
        <w:kinsoku w:val="0"/>
        <w:overflowPunct w:val="0"/>
        <w:spacing w:before="122" w:line="250" w:lineRule="auto"/>
        <w:ind w:right="116"/>
        <w:rPr>
          <w:rFonts w:ascii="Times New Roman" w:hAnsi="Times New Roman"/>
          <w:color w:val="000000"/>
          <w:sz w:val="24"/>
          <w:szCs w:val="24"/>
          <w:lang w:val="az-Latn-AZ"/>
        </w:rPr>
        <w:sectPr w:rsidR="006E759E" w:rsidRPr="009C2EF2" w:rsidSect="00281953">
          <w:footerReference w:type="default" r:id="rId15"/>
          <w:pgSz w:w="8850" w:h="13270"/>
          <w:pgMar w:top="287" w:right="1020" w:bottom="440" w:left="0" w:header="0" w:footer="254" w:gutter="0"/>
          <w:pgNumType w:start="11"/>
          <w:cols w:space="720"/>
        </w:sect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Heading41"/>
        <w:numPr>
          <w:ilvl w:val="0"/>
          <w:numId w:val="112"/>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Kənarlaşmalar</w:t>
      </w:r>
    </w:p>
    <w:p w:rsidR="00D02DD9" w:rsidRPr="009C2EF2" w:rsidRDefault="0075026C" w:rsidP="00C82D07">
      <w:pPr>
        <w:pStyle w:val="a3"/>
        <w:numPr>
          <w:ilvl w:val="1"/>
          <w:numId w:val="112"/>
        </w:numPr>
        <w:tabs>
          <w:tab w:val="left" w:pos="681"/>
        </w:tabs>
        <w:kinsoku w:val="0"/>
        <w:overflowPunct w:val="0"/>
        <w:spacing w:before="122" w:line="250" w:lineRule="auto"/>
        <w:ind w:left="680" w:right="1026"/>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46112" behindDoc="0" locked="0" layoutInCell="0" allowOverlap="1">
                <wp:simplePos x="0" y="0"/>
                <wp:positionH relativeFrom="page">
                  <wp:posOffset>5276215</wp:posOffset>
                </wp:positionH>
                <wp:positionV relativeFrom="paragraph">
                  <wp:posOffset>386715</wp:posOffset>
                </wp:positionV>
                <wp:extent cx="152400" cy="958850"/>
                <wp:effectExtent l="0" t="0" r="0" b="0"/>
                <wp:wrapNone/>
                <wp:docPr id="2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106"/>
                                <w:sz w:val="20"/>
                                <w:szCs w:val="24"/>
                                <w:lang w:val="az-Latn-AZ"/>
                              </w:rPr>
                              <w:t>Beynəlxalq Qiymətləndirmə Standartları (BQS) Çərçivəsi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415.45pt;margin-top:30.45pt;width:12pt;height:7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106"/>
                          <w:sz w:val="20"/>
                          <w:szCs w:val="24"/>
                          <w:lang w:val="az-Latn-AZ"/>
                        </w:rPr>
                        <w:t>Beynəlxalq Qiymətləndirmə Standartları (BQS) Çərçivəsi</w:t>
                      </w:r>
                    </w:p>
                  </w:txbxContent>
                </v:textbox>
                <w10:wrap anchorx="page"/>
              </v:shape>
            </w:pict>
          </mc:Fallback>
        </mc:AlternateContent>
      </w:r>
      <w:r w:rsidR="003C64E0" w:rsidRPr="009C2EF2">
        <w:rPr>
          <w:rFonts w:ascii="Times New Roman" w:hAnsi="Times New Roman"/>
          <w:color w:val="231F20"/>
          <w:sz w:val="24"/>
          <w:szCs w:val="24"/>
          <w:lang w:val="az-Latn-AZ"/>
        </w:rPr>
        <w:t>"</w:t>
      </w:r>
      <w:r w:rsidR="003C64E0" w:rsidRPr="009C2EF2">
        <w:rPr>
          <w:rFonts w:ascii="Times New Roman" w:hAnsi="Times New Roman"/>
          <w:i/>
          <w:color w:val="231F20"/>
          <w:sz w:val="24"/>
          <w:szCs w:val="24"/>
          <w:lang w:val="az-Latn-AZ"/>
        </w:rPr>
        <w:t>Kənarlaşma</w:t>
      </w:r>
      <w:r w:rsidR="003C64E0" w:rsidRPr="009C2EF2">
        <w:rPr>
          <w:rFonts w:ascii="Times New Roman" w:hAnsi="Times New Roman"/>
          <w:color w:val="231F20"/>
          <w:sz w:val="24"/>
          <w:szCs w:val="24"/>
          <w:lang w:val="az-Latn-AZ"/>
        </w:rPr>
        <w:t>" BQS daxilində verilmiş bir qis</w:t>
      </w:r>
      <w:r w:rsidR="00DE33E4" w:rsidRPr="009C2EF2">
        <w:rPr>
          <w:rFonts w:ascii="Times New Roman" w:hAnsi="Times New Roman"/>
          <w:color w:val="231F20"/>
          <w:sz w:val="24"/>
          <w:szCs w:val="24"/>
          <w:lang w:val="az-Latn-AZ"/>
        </w:rPr>
        <w:t>i</w:t>
      </w:r>
      <w:r w:rsidR="003C64E0" w:rsidRPr="009C2EF2">
        <w:rPr>
          <w:rFonts w:ascii="Times New Roman" w:hAnsi="Times New Roman"/>
          <w:color w:val="231F20"/>
          <w:sz w:val="24"/>
          <w:szCs w:val="24"/>
          <w:lang w:val="az-Latn-AZ"/>
        </w:rPr>
        <w:t xml:space="preserve">m tələblərdən fərqlənən müəyyən qanunverici, tənzimləyici və digər rəhbər təlimatların nəzərə alınması </w:t>
      </w:r>
      <w:r w:rsidR="003C64E0" w:rsidRPr="009C2EF2">
        <w:rPr>
          <w:rFonts w:ascii="Times New Roman" w:hAnsi="Times New Roman"/>
          <w:i/>
          <w:color w:val="231F20"/>
          <w:sz w:val="24"/>
          <w:szCs w:val="24"/>
          <w:lang w:val="az-Latn-AZ"/>
        </w:rPr>
        <w:t>vacib</w:t>
      </w:r>
      <w:r w:rsidR="003C64E0" w:rsidRPr="009C2EF2">
        <w:rPr>
          <w:rFonts w:ascii="Times New Roman" w:hAnsi="Times New Roman"/>
          <w:color w:val="231F20"/>
          <w:sz w:val="24"/>
          <w:szCs w:val="24"/>
          <w:lang w:val="az-Latn-AZ"/>
        </w:rPr>
        <w:t xml:space="preserve"> olan haldır. </w:t>
      </w:r>
      <w:r w:rsidR="003C64E0" w:rsidRPr="009C2EF2">
        <w:rPr>
          <w:rFonts w:ascii="Times New Roman" w:hAnsi="Times New Roman"/>
          <w:i/>
          <w:color w:val="231F20"/>
          <w:sz w:val="24"/>
          <w:szCs w:val="24"/>
          <w:lang w:val="az-Latn-AZ"/>
        </w:rPr>
        <w:t>Qiymətləndirici</w:t>
      </w:r>
      <w:r w:rsidR="003C64E0" w:rsidRPr="009C2EF2">
        <w:rPr>
          <w:rFonts w:ascii="Times New Roman" w:hAnsi="Times New Roman"/>
          <w:color w:val="231F20"/>
          <w:sz w:val="24"/>
          <w:szCs w:val="24"/>
          <w:lang w:val="az-Latn-AZ"/>
        </w:rPr>
        <w:t xml:space="preserve"> BQS-ə uyğun olması üçün</w:t>
      </w:r>
    </w:p>
    <w:p w:rsidR="00D02DD9" w:rsidRPr="009C2EF2" w:rsidRDefault="003C64E0" w:rsidP="00C82D07">
      <w:pPr>
        <w:pStyle w:val="a3"/>
        <w:kinsoku w:val="0"/>
        <w:overflowPunct w:val="0"/>
        <w:spacing w:line="250" w:lineRule="auto"/>
        <w:ind w:left="680" w:right="1026"/>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 qiymətləndirmənin</w:t>
      </w:r>
      <w:r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 xml:space="preserve">məqsəd </w:t>
      </w:r>
      <w:r w:rsidRPr="009C2EF2">
        <w:rPr>
          <w:rFonts w:ascii="Times New Roman" w:hAnsi="Times New Roman"/>
          <w:color w:val="231F20"/>
          <w:sz w:val="24"/>
          <w:szCs w:val="24"/>
          <w:lang w:val="az-Latn-AZ"/>
        </w:rPr>
        <w:t xml:space="preserve">və </w:t>
      </w:r>
      <w:r w:rsidRPr="009C2EF2">
        <w:rPr>
          <w:rFonts w:ascii="Times New Roman" w:hAnsi="Times New Roman"/>
          <w:i/>
          <w:color w:val="231F20"/>
          <w:spacing w:val="1"/>
          <w:sz w:val="24"/>
          <w:szCs w:val="24"/>
          <w:lang w:val="az-Latn-AZ"/>
        </w:rPr>
        <w:t xml:space="preserve">yurisdiksiyasına </w:t>
      </w:r>
      <w:r w:rsidRPr="009C2EF2">
        <w:rPr>
          <w:rFonts w:ascii="Times New Roman" w:hAnsi="Times New Roman"/>
          <w:color w:val="231F20"/>
          <w:sz w:val="24"/>
          <w:szCs w:val="24"/>
          <w:lang w:val="az-Latn-AZ"/>
        </w:rPr>
        <w:t xml:space="preserve">uyğun gələn qanunverici, tənzimləyici və digər rəhbər tələblərə riayət etməli olduğu halda kənarlaşmalar mütləq şərtə çevrilir.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kənarlaşmanın mütləq hala çevrildiyi zaman qiymətləndirmənin hələ də BQS-ə uyğun şəkildə icra</w:t>
      </w:r>
    </w:p>
    <w:p w:rsidR="00D02DD9" w:rsidRPr="009C2EF2" w:rsidRDefault="003C64E0">
      <w:pPr>
        <w:pStyle w:val="a3"/>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edildiyini söyləyə bilər.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C82D07">
      <w:pPr>
        <w:pStyle w:val="a3"/>
        <w:numPr>
          <w:ilvl w:val="1"/>
          <w:numId w:val="112"/>
        </w:numPr>
        <w:tabs>
          <w:tab w:val="left" w:pos="681"/>
        </w:tabs>
        <w:kinsoku w:val="0"/>
        <w:overflowPunct w:val="0"/>
        <w:spacing w:line="250" w:lineRule="auto"/>
        <w:ind w:left="68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Qanunverici, tənzimləyici və digər rəhbər tələblərə uyğun gələn BQS-dən yayınma tələbi digər BQS tələblərindən üstün hüquqa malikdir.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C82D07" w:rsidRDefault="003C64E0" w:rsidP="00C82D07">
      <w:pPr>
        <w:pStyle w:val="a3"/>
        <w:numPr>
          <w:ilvl w:val="1"/>
          <w:numId w:val="112"/>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pacing w:val="1"/>
          <w:sz w:val="24"/>
          <w:szCs w:val="24"/>
          <w:lang w:val="az-Latn-AZ"/>
        </w:rPr>
        <w:t xml:space="preserve"> standartının  20.3 (n) bəndində və BQS 103 </w:t>
      </w:r>
      <w:r w:rsidRPr="009C2EF2">
        <w:rPr>
          <w:rFonts w:ascii="Times New Roman" w:hAnsi="Times New Roman"/>
          <w:i/>
          <w:color w:val="231F20"/>
          <w:spacing w:val="1"/>
          <w:sz w:val="24"/>
          <w:szCs w:val="24"/>
          <w:lang w:val="az-Latn-AZ"/>
        </w:rPr>
        <w:t>Hesabat</w:t>
      </w:r>
      <w:r w:rsidRPr="009C2EF2">
        <w:rPr>
          <w:rFonts w:ascii="Times New Roman" w:hAnsi="Times New Roman"/>
          <w:color w:val="231F20"/>
          <w:spacing w:val="1"/>
          <w:sz w:val="24"/>
          <w:szCs w:val="24"/>
          <w:lang w:val="az-Latn-AZ"/>
        </w:rPr>
        <w:t xml:space="preserve"> standartının 10.2-bəndində göstərildiyi kimi, kənarlaşmaların təbiəti </w:t>
      </w:r>
      <w:r w:rsidRPr="009C2EF2">
        <w:rPr>
          <w:rFonts w:ascii="Times New Roman" w:hAnsi="Times New Roman"/>
          <w:i/>
          <w:color w:val="231F20"/>
          <w:sz w:val="24"/>
          <w:szCs w:val="24"/>
          <w:lang w:val="az-Latn-AZ"/>
        </w:rPr>
        <w:t xml:space="preserve">müəyyənləşdirilməlidir </w:t>
      </w:r>
      <w:r w:rsidRPr="009C2EF2">
        <w:rPr>
          <w:rFonts w:ascii="Times New Roman" w:hAnsi="Times New Roman"/>
          <w:color w:val="231F20"/>
          <w:spacing w:val="1"/>
          <w:sz w:val="24"/>
          <w:szCs w:val="24"/>
          <w:lang w:val="az-Latn-AZ"/>
        </w:rPr>
        <w:t>(qiymətləndirmənin BQS-ə və yerli vergi qaydalarına uyğun şəkildə icra edilib-edilməməsi kimi). Kənarlaşmalar icra edilmiş proseduraların xüsusiyyətinə, istifadə olunmuş ilkin məlumatlara və ehtimallara, eləcə də, qiymətləndirmə nəticə(lər)</w:t>
      </w:r>
      <w:r w:rsidR="008C0BBA" w:rsidRPr="009C2EF2">
        <w:rPr>
          <w:rFonts w:ascii="Times New Roman" w:hAnsi="Times New Roman"/>
          <w:color w:val="231F20"/>
          <w:spacing w:val="1"/>
          <w:sz w:val="24"/>
          <w:szCs w:val="24"/>
          <w:lang w:val="az-Latn-AZ"/>
        </w:rPr>
        <w:t>s</w:t>
      </w:r>
      <w:r w:rsidRPr="009C2EF2">
        <w:rPr>
          <w:rFonts w:ascii="Times New Roman" w:hAnsi="Times New Roman"/>
          <w:color w:val="231F20"/>
          <w:spacing w:val="1"/>
          <w:sz w:val="24"/>
          <w:szCs w:val="24"/>
          <w:lang w:val="az-Latn-AZ"/>
        </w:rPr>
        <w:t xml:space="preserve">inə </w:t>
      </w:r>
      <w:r w:rsidRPr="009C2EF2">
        <w:rPr>
          <w:rFonts w:ascii="Times New Roman" w:hAnsi="Times New Roman"/>
          <w:i/>
          <w:color w:val="231F20"/>
          <w:sz w:val="24"/>
          <w:szCs w:val="24"/>
          <w:lang w:val="az-Latn-AZ"/>
        </w:rPr>
        <w:t xml:space="preserve">əhəmiyyətli dərəcədə </w:t>
      </w:r>
      <w:r w:rsidRPr="009C2EF2">
        <w:rPr>
          <w:rFonts w:ascii="Times New Roman" w:hAnsi="Times New Roman"/>
          <w:color w:val="231F20"/>
          <w:spacing w:val="1"/>
          <w:sz w:val="24"/>
          <w:szCs w:val="24"/>
          <w:lang w:val="az-Latn-AZ"/>
        </w:rPr>
        <w:t xml:space="preserve">təsir etdiyi təqdirdə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müəyyən qanunverici, tənzimləyici və digər rəhbər tələbləri və onları BQS tələblərindən fərqləndirən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pacing w:val="1"/>
          <w:sz w:val="24"/>
          <w:szCs w:val="24"/>
          <w:lang w:val="az-Latn-AZ"/>
        </w:rPr>
        <w:t>üsulları müəyyən etməlidir</w:t>
      </w:r>
      <w:r w:rsidR="00C82D07">
        <w:rPr>
          <w:rFonts w:ascii="Times New Roman" w:hAnsi="Times New Roman"/>
          <w:color w:val="231F20"/>
          <w:spacing w:val="1"/>
          <w:sz w:val="24"/>
          <w:szCs w:val="24"/>
          <w:lang w:val="az-Latn-AZ"/>
        </w:rPr>
        <w:t>.</w:t>
      </w:r>
      <w:r w:rsidR="00C82D07">
        <w:rPr>
          <w:rFonts w:ascii="Times New Roman" w:hAnsi="Times New Roman"/>
          <w:color w:val="000000"/>
          <w:sz w:val="24"/>
          <w:szCs w:val="24"/>
          <w:lang w:val="az-Latn-AZ"/>
        </w:rPr>
        <w:t xml:space="preserve"> </w:t>
      </w:r>
      <w:r w:rsidRPr="00C82D07">
        <w:rPr>
          <w:rFonts w:ascii="Times New Roman" w:hAnsi="Times New Roman"/>
          <w:color w:val="231F20"/>
          <w:sz w:val="24"/>
          <w:szCs w:val="24"/>
          <w:lang w:val="az-Latn-AZ"/>
        </w:rPr>
        <w:t xml:space="preserve">(BQS-in gəlir yanaşmasından istifadə </w:t>
      </w:r>
      <w:r w:rsidRPr="00C82D07">
        <w:rPr>
          <w:rFonts w:ascii="Times New Roman" w:hAnsi="Times New Roman"/>
          <w:i/>
          <w:color w:val="231F20"/>
          <w:spacing w:val="1"/>
          <w:sz w:val="24"/>
          <w:szCs w:val="24"/>
          <w:lang w:val="az-Latn-AZ"/>
        </w:rPr>
        <w:t xml:space="preserve">olunmalı </w:t>
      </w:r>
      <w:r w:rsidRPr="00C82D07">
        <w:rPr>
          <w:rFonts w:ascii="Times New Roman" w:hAnsi="Times New Roman"/>
          <w:color w:val="231F20"/>
          <w:sz w:val="24"/>
          <w:szCs w:val="24"/>
          <w:lang w:val="az-Latn-AZ"/>
        </w:rPr>
        <w:t xml:space="preserve">olduğunu göstərdiyi təqdirdə müvafiq </w:t>
      </w:r>
      <w:r w:rsidRPr="00C82D07">
        <w:rPr>
          <w:rFonts w:ascii="Times New Roman" w:hAnsi="Times New Roman"/>
          <w:i/>
          <w:color w:val="231F20"/>
          <w:spacing w:val="1"/>
          <w:sz w:val="24"/>
          <w:szCs w:val="24"/>
          <w:lang w:val="az-Latn-AZ"/>
        </w:rPr>
        <w:t>yurisdiksiyanın</w:t>
      </w:r>
      <w:r w:rsidRPr="00C82D07">
        <w:rPr>
          <w:rFonts w:ascii="Times New Roman" w:hAnsi="Times New Roman"/>
          <w:color w:val="231F20"/>
          <w:sz w:val="24"/>
          <w:szCs w:val="24"/>
          <w:lang w:val="az-Latn-AZ"/>
        </w:rPr>
        <w:t xml:space="preserve"> yalnız bazar yana</w:t>
      </w:r>
      <w:r w:rsidR="008C0BBA" w:rsidRPr="00C82D07">
        <w:rPr>
          <w:rFonts w:ascii="Times New Roman" w:hAnsi="Times New Roman"/>
          <w:color w:val="231F20"/>
          <w:sz w:val="24"/>
          <w:szCs w:val="24"/>
          <w:lang w:val="az-Latn-AZ"/>
        </w:rPr>
        <w:t>şmasından istifadəni tələb</w:t>
      </w:r>
      <w:r w:rsidRPr="00C82D07">
        <w:rPr>
          <w:rFonts w:ascii="Times New Roman" w:hAnsi="Times New Roman"/>
          <w:color w:val="231F20"/>
          <w:sz w:val="24"/>
          <w:szCs w:val="24"/>
          <w:lang w:val="az-Latn-AZ"/>
        </w:rPr>
        <w:t xml:space="preserve"> etməsi kimi).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12"/>
        </w:numPr>
        <w:tabs>
          <w:tab w:val="left" w:pos="681"/>
        </w:tabs>
        <w:kinsoku w:val="0"/>
        <w:overflowPunct w:val="0"/>
        <w:spacing w:line="250" w:lineRule="auto"/>
        <w:ind w:left="680" w:right="96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BQS-ə uyğun olaraq icra edilmiş qiymətləndirmələrdə qanunverici, tənzimləyici və digər rəhbər tələblərin nəticəsi olmayan BQS-dən yayınmalara yol verilmir.</w:t>
      </w:r>
    </w:p>
    <w:p w:rsidR="00D02DD9" w:rsidRPr="009C2EF2" w:rsidRDefault="00D02DD9">
      <w:pPr>
        <w:pStyle w:val="a3"/>
        <w:kinsoku w:val="0"/>
        <w:overflowPunct w:val="0"/>
        <w:spacing w:before="6"/>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7</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16"/>
          <w:pgSz w:w="8850" w:h="13270"/>
          <w:pgMar w:top="0" w:right="0" w:bottom="0" w:left="1020" w:header="0" w:footer="0" w:gutter="0"/>
          <w:cols w:space="720"/>
        </w:sectPr>
      </w:pPr>
    </w:p>
    <w:p w:rsidR="00D02DD9" w:rsidRPr="009C2EF2" w:rsidRDefault="00D02DD9">
      <w:pPr>
        <w:pStyle w:val="a3"/>
        <w:kinsoku w:val="0"/>
        <w:overflowPunct w:val="0"/>
        <w:spacing w:before="5"/>
        <w:ind w:left="0"/>
        <w:rPr>
          <w:rFonts w:ascii="Times New Roman" w:hAnsi="Times New Roman"/>
          <w:sz w:val="24"/>
          <w:szCs w:val="24"/>
          <w:lang w:val="az-Latn-AZ"/>
        </w:rPr>
      </w:pPr>
    </w:p>
    <w:p w:rsidR="00D02DD9" w:rsidRPr="00C82D07" w:rsidRDefault="00C82D07" w:rsidP="00C82D07">
      <w:pPr>
        <w:pStyle w:val="a3"/>
        <w:kinsoku w:val="0"/>
        <w:overflowPunct w:val="0"/>
        <w:spacing w:before="79"/>
        <w:ind w:left="0" w:right="3637"/>
        <w:rPr>
          <w:rFonts w:ascii="Times New Roman" w:hAnsi="Times New Roman"/>
          <w:b/>
          <w:color w:val="000000"/>
          <w:sz w:val="24"/>
          <w:szCs w:val="24"/>
          <w:lang w:val="az-Latn-AZ"/>
        </w:rPr>
      </w:pPr>
      <w:bookmarkStart w:id="3" w:name="bookmark3"/>
      <w:bookmarkEnd w:id="3"/>
      <w:r w:rsidRPr="00C82D07">
        <w:rPr>
          <w:rFonts w:ascii="Times New Roman" w:hAnsi="Times New Roman"/>
          <w:b/>
          <w:color w:val="231F20"/>
          <w:spacing w:val="2"/>
          <w:sz w:val="24"/>
          <w:szCs w:val="24"/>
          <w:lang w:val="az-Latn-AZ"/>
        </w:rPr>
        <w:t>Ümumi</w:t>
      </w:r>
      <w:r w:rsidR="003C64E0" w:rsidRPr="00C82D07">
        <w:rPr>
          <w:rFonts w:ascii="Times New Roman" w:hAnsi="Times New Roman"/>
          <w:b/>
          <w:color w:val="231F20"/>
          <w:spacing w:val="2"/>
          <w:sz w:val="24"/>
          <w:szCs w:val="24"/>
          <w:lang w:val="az-Latn-AZ"/>
        </w:rPr>
        <w:t xml:space="preserve"> Standartlar</w:t>
      </w:r>
    </w:p>
    <w:p w:rsidR="00D02DD9" w:rsidRPr="009C2EF2" w:rsidRDefault="00D02DD9">
      <w:pPr>
        <w:pStyle w:val="a3"/>
        <w:kinsoku w:val="0"/>
        <w:overflowPunct w:val="0"/>
        <w:spacing w:before="11"/>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3C64E0">
      <w:pPr>
        <w:pStyle w:val="Heading21"/>
        <w:kinsoku w:val="0"/>
        <w:overflowPunct w:val="0"/>
        <w:spacing w:before="0"/>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101</w:t>
      </w:r>
      <w:r w:rsidR="00C82D07">
        <w:rPr>
          <w:rFonts w:ascii="Times New Roman" w:hAnsi="Times New Roman"/>
          <w:color w:val="231F20"/>
          <w:spacing w:val="-1"/>
          <w:szCs w:val="24"/>
          <w:lang w:val="az-Latn-AZ"/>
        </w:rPr>
        <w:t>.</w:t>
      </w:r>
      <w:r w:rsidRPr="009C2EF2">
        <w:rPr>
          <w:rFonts w:ascii="Times New Roman" w:hAnsi="Times New Roman"/>
          <w:color w:val="231F20"/>
          <w:spacing w:val="-1"/>
          <w:szCs w:val="24"/>
          <w:lang w:val="az-Latn-AZ"/>
        </w:rPr>
        <w:t xml:space="preserve"> </w:t>
      </w:r>
      <w:r w:rsidR="00C82D07">
        <w:rPr>
          <w:rFonts w:ascii="Times New Roman" w:hAnsi="Times New Roman"/>
          <w:color w:val="231F20"/>
          <w:spacing w:val="-1"/>
          <w:szCs w:val="24"/>
          <w:lang w:val="az-Latn-AZ"/>
        </w:rPr>
        <w:t>Qiymətləndirmə Tapşırığı</w:t>
      </w:r>
    </w:p>
    <w:p w:rsidR="00D02DD9" w:rsidRPr="009C2EF2" w:rsidRDefault="00D02DD9">
      <w:pPr>
        <w:pStyle w:val="a3"/>
        <w:kinsoku w:val="0"/>
        <w:overflowPunct w:val="0"/>
        <w:spacing w:before="10"/>
        <w:ind w:left="0"/>
        <w:rPr>
          <w:rFonts w:ascii="Times New Roman" w:hAnsi="Times New Roman"/>
          <w:b/>
          <w:sz w:val="24"/>
          <w:szCs w:val="24"/>
          <w:lang w:val="az-Latn-AZ"/>
        </w:rPr>
      </w:pPr>
    </w:p>
    <w:tbl>
      <w:tblPr>
        <w:tblW w:w="0" w:type="auto"/>
        <w:tblInd w:w="114" w:type="dxa"/>
        <w:tblLayout w:type="fixed"/>
        <w:tblCellMar>
          <w:left w:w="0" w:type="dxa"/>
          <w:right w:w="0" w:type="dxa"/>
        </w:tblCellMar>
        <w:tblLook w:val="04A0" w:firstRow="1" w:lastRow="0" w:firstColumn="1" w:lastColumn="0" w:noHBand="0" w:noVBand="1"/>
      </w:tblPr>
      <w:tblGrid>
        <w:gridCol w:w="4564"/>
        <w:gridCol w:w="1843"/>
      </w:tblGrid>
      <w:tr w:rsidR="00D02DD9" w:rsidRPr="00C82D07" w:rsidTr="00C82D07">
        <w:trPr>
          <w:trHeight w:hRule="exact" w:val="511"/>
        </w:trPr>
        <w:tc>
          <w:tcPr>
            <w:tcW w:w="4564"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pPr>
              <w:pStyle w:val="TableParagraph"/>
              <w:kinsoku w:val="0"/>
              <w:overflowPunct w:val="0"/>
              <w:ind w:left="283"/>
              <w:rPr>
                <w:sz w:val="24"/>
                <w:szCs w:val="24"/>
                <w:lang w:val="az-Latn-AZ"/>
              </w:rPr>
            </w:pPr>
            <w:r w:rsidRPr="009C2EF2">
              <w:rPr>
                <w:b/>
                <w:color w:val="231F20"/>
                <w:spacing w:val="1"/>
                <w:sz w:val="24"/>
                <w:szCs w:val="24"/>
                <w:lang w:val="az-Latn-AZ"/>
              </w:rPr>
              <w:t>Mündəricat</w:t>
            </w:r>
          </w:p>
        </w:tc>
        <w:tc>
          <w:tcPr>
            <w:tcW w:w="1843"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rsidP="00C82D07">
            <w:pPr>
              <w:pStyle w:val="TableParagraph"/>
              <w:kinsoku w:val="0"/>
              <w:overflowPunct w:val="0"/>
              <w:ind w:left="992"/>
              <w:rPr>
                <w:sz w:val="24"/>
                <w:szCs w:val="24"/>
                <w:lang w:val="az-Latn-AZ"/>
              </w:rPr>
            </w:pPr>
            <w:r w:rsidRPr="009C2EF2">
              <w:rPr>
                <w:b/>
                <w:color w:val="231F20"/>
                <w:spacing w:val="1"/>
                <w:sz w:val="24"/>
                <w:szCs w:val="24"/>
                <w:lang w:val="az-Latn-AZ"/>
              </w:rPr>
              <w:t>Bəndlər</w:t>
            </w:r>
          </w:p>
        </w:tc>
      </w:tr>
      <w:tr w:rsidR="00D02DD9" w:rsidRPr="00C82D07" w:rsidTr="00C82D07">
        <w:trPr>
          <w:trHeight w:hRule="exact" w:val="301"/>
        </w:trPr>
        <w:tc>
          <w:tcPr>
            <w:tcW w:w="4564" w:type="dxa"/>
            <w:tcBorders>
              <w:top w:val="nil"/>
              <w:left w:val="nil"/>
              <w:bottom w:val="nil"/>
              <w:right w:val="nil"/>
            </w:tcBorders>
            <w:shd w:val="clear" w:color="auto" w:fill="E6E7E8"/>
          </w:tcPr>
          <w:p w:rsidR="00D02DD9" w:rsidRPr="009C2EF2" w:rsidRDefault="003C64E0">
            <w:pPr>
              <w:pStyle w:val="TableParagraph"/>
              <w:kinsoku w:val="0"/>
              <w:overflowPunct w:val="0"/>
              <w:spacing w:before="51"/>
              <w:ind w:left="283"/>
              <w:rPr>
                <w:sz w:val="24"/>
                <w:szCs w:val="24"/>
                <w:lang w:val="az-Latn-AZ"/>
              </w:rPr>
            </w:pPr>
            <w:r w:rsidRPr="009C2EF2">
              <w:rPr>
                <w:color w:val="231F20"/>
                <w:sz w:val="24"/>
                <w:szCs w:val="24"/>
                <w:lang w:val="az-Latn-AZ"/>
              </w:rPr>
              <w:t>Giriş</w:t>
            </w:r>
          </w:p>
        </w:tc>
        <w:tc>
          <w:tcPr>
            <w:tcW w:w="1843" w:type="dxa"/>
            <w:tcBorders>
              <w:top w:val="nil"/>
              <w:left w:val="nil"/>
              <w:bottom w:val="nil"/>
              <w:right w:val="nil"/>
            </w:tcBorders>
            <w:shd w:val="clear" w:color="auto" w:fill="E6E7E8"/>
          </w:tcPr>
          <w:p w:rsidR="00D02DD9" w:rsidRPr="009C2EF2" w:rsidRDefault="003C64E0">
            <w:pPr>
              <w:pStyle w:val="TableParagraph"/>
              <w:kinsoku w:val="0"/>
              <w:overflowPunct w:val="0"/>
              <w:spacing w:before="51"/>
              <w:ind w:right="281"/>
              <w:jc w:val="right"/>
              <w:rPr>
                <w:sz w:val="24"/>
                <w:szCs w:val="24"/>
                <w:lang w:val="az-Latn-AZ"/>
              </w:rPr>
            </w:pPr>
            <w:r w:rsidRPr="009C2EF2">
              <w:rPr>
                <w:color w:val="231F20"/>
                <w:spacing w:val="-3"/>
                <w:w w:val="95"/>
                <w:sz w:val="24"/>
                <w:szCs w:val="24"/>
                <w:lang w:val="az-Latn-AZ"/>
              </w:rPr>
              <w:t>10</w:t>
            </w:r>
          </w:p>
        </w:tc>
      </w:tr>
      <w:tr w:rsidR="00D02DD9" w:rsidRPr="00C82D07" w:rsidTr="00C82D07">
        <w:trPr>
          <w:trHeight w:hRule="exact" w:val="273"/>
        </w:trPr>
        <w:tc>
          <w:tcPr>
            <w:tcW w:w="456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Ümumi tələblər</w:t>
            </w:r>
          </w:p>
        </w:tc>
        <w:tc>
          <w:tcPr>
            <w:tcW w:w="18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w w:val="95"/>
                <w:sz w:val="24"/>
                <w:szCs w:val="24"/>
                <w:lang w:val="az-Latn-AZ"/>
              </w:rPr>
              <w:t>20</w:t>
            </w:r>
          </w:p>
        </w:tc>
      </w:tr>
      <w:tr w:rsidR="00D02DD9" w:rsidRPr="00C82D07" w:rsidTr="00C82D07">
        <w:trPr>
          <w:trHeight w:hRule="exact" w:val="475"/>
        </w:trPr>
        <w:tc>
          <w:tcPr>
            <w:tcW w:w="4564" w:type="dxa"/>
            <w:tcBorders>
              <w:top w:val="nil"/>
              <w:left w:val="nil"/>
              <w:bottom w:val="nil"/>
              <w:right w:val="nil"/>
            </w:tcBorders>
            <w:shd w:val="clear" w:color="auto" w:fill="E6E7E8"/>
          </w:tcPr>
          <w:p w:rsidR="00D02DD9" w:rsidRPr="009C2EF2" w:rsidRDefault="00C82D07" w:rsidP="00C82D07">
            <w:pPr>
              <w:pStyle w:val="TableParagraph"/>
              <w:kinsoku w:val="0"/>
              <w:overflowPunct w:val="0"/>
              <w:spacing w:before="23"/>
              <w:ind w:left="283" w:right="-752"/>
              <w:rPr>
                <w:sz w:val="24"/>
                <w:szCs w:val="24"/>
                <w:lang w:val="az-Latn-AZ"/>
              </w:rPr>
            </w:pPr>
            <w:r>
              <w:rPr>
                <w:color w:val="231F20"/>
                <w:sz w:val="24"/>
                <w:szCs w:val="24"/>
                <w:lang w:val="az-Latn-AZ"/>
              </w:rPr>
              <w:t>Qiymətləndirmə Tapşırığına</w:t>
            </w:r>
            <w:r w:rsidR="003C64E0" w:rsidRPr="009C2EF2">
              <w:rPr>
                <w:color w:val="231F20"/>
                <w:sz w:val="24"/>
                <w:szCs w:val="24"/>
                <w:lang w:val="az-Latn-AZ"/>
              </w:rPr>
              <w:t xml:space="preserve"> Dəyişikliklər</w:t>
            </w:r>
          </w:p>
        </w:tc>
        <w:tc>
          <w:tcPr>
            <w:tcW w:w="1843" w:type="dxa"/>
            <w:tcBorders>
              <w:top w:val="nil"/>
              <w:left w:val="nil"/>
              <w:bottom w:val="nil"/>
              <w:right w:val="nil"/>
            </w:tcBorders>
            <w:shd w:val="clear" w:color="auto" w:fill="E6E7E8"/>
          </w:tcPr>
          <w:p w:rsidR="00D02DD9" w:rsidRPr="009C2EF2" w:rsidRDefault="003C64E0" w:rsidP="00C82D07">
            <w:pPr>
              <w:pStyle w:val="TableParagraph"/>
              <w:kinsoku w:val="0"/>
              <w:overflowPunct w:val="0"/>
              <w:spacing w:before="23"/>
              <w:ind w:left="468" w:right="284"/>
              <w:jc w:val="right"/>
              <w:rPr>
                <w:sz w:val="24"/>
                <w:szCs w:val="24"/>
                <w:lang w:val="az-Latn-AZ"/>
              </w:rPr>
            </w:pPr>
            <w:r w:rsidRPr="009C2EF2">
              <w:rPr>
                <w:color w:val="231F20"/>
                <w:spacing w:val="1"/>
                <w:sz w:val="24"/>
                <w:szCs w:val="24"/>
                <w:lang w:val="az-Latn-AZ"/>
              </w:rPr>
              <w:t>30</w:t>
            </w:r>
          </w:p>
        </w:tc>
      </w:tr>
    </w:tbl>
    <w:p w:rsidR="00D02DD9" w:rsidRPr="009C2EF2" w:rsidRDefault="00D02DD9">
      <w:pPr>
        <w:pStyle w:val="a3"/>
        <w:kinsoku w:val="0"/>
        <w:overflowPunct w:val="0"/>
        <w:spacing w:before="3"/>
        <w:ind w:left="0"/>
        <w:rPr>
          <w:rFonts w:ascii="Times New Roman" w:hAnsi="Times New Roman"/>
          <w:b/>
          <w:sz w:val="24"/>
          <w:szCs w:val="24"/>
          <w:lang w:val="az-Latn-AZ"/>
        </w:rPr>
      </w:pPr>
    </w:p>
    <w:p w:rsidR="00D02DD9" w:rsidRPr="009C2EF2" w:rsidRDefault="0075026C">
      <w:pPr>
        <w:pStyle w:val="Heading41"/>
        <w:numPr>
          <w:ilvl w:val="0"/>
          <w:numId w:val="111"/>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47136" behindDoc="0" locked="0" layoutInCell="0" allowOverlap="1">
                <wp:simplePos x="0" y="0"/>
                <wp:positionH relativeFrom="page">
                  <wp:posOffset>5276215</wp:posOffset>
                </wp:positionH>
                <wp:positionV relativeFrom="paragraph">
                  <wp:posOffset>-621665</wp:posOffset>
                </wp:positionV>
                <wp:extent cx="152400" cy="2702560"/>
                <wp:effectExtent l="0" t="0" r="0" b="0"/>
                <wp:wrapNone/>
                <wp:docPr id="2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101 İşin Əhatə Dairəsi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left:0;text-align:left;margin-left:415.45pt;margin-top:-48.95pt;width:12pt;height:212.8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101 İşin Əhatə Dairəsi</w:t>
                      </w:r>
                    </w:p>
                  </w:txbxContent>
                </v:textbox>
                <w10:wrap anchorx="page"/>
              </v:shape>
            </w:pict>
          </mc:Fallback>
        </mc:AlternateContent>
      </w:r>
      <w:r w:rsidR="003C64E0" w:rsidRPr="009C2EF2">
        <w:rPr>
          <w:rFonts w:ascii="Times New Roman" w:hAnsi="Times New Roman"/>
          <w:color w:val="231F20"/>
          <w:spacing w:val="2"/>
          <w:sz w:val="24"/>
          <w:szCs w:val="24"/>
          <w:lang w:val="az-Latn-AZ"/>
        </w:rPr>
        <w:t>Giriş</w:t>
      </w:r>
    </w:p>
    <w:p w:rsidR="00D02DD9" w:rsidRPr="009C2EF2" w:rsidRDefault="003C64E0" w:rsidP="00DA349A">
      <w:pPr>
        <w:pStyle w:val="a3"/>
        <w:numPr>
          <w:ilvl w:val="1"/>
          <w:numId w:val="111"/>
        </w:numPr>
        <w:tabs>
          <w:tab w:val="left" w:pos="681"/>
        </w:tabs>
        <w:kinsoku w:val="0"/>
        <w:overflowPunct w:val="0"/>
        <w:spacing w:before="122"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İşin əhatə dairəsi (bəzən tapşırığın şərtləri kimi də istinad edilir) qiymətləndirmə işinin əsas şərtlərini, o cümlədən, qiymətləndiriləcək </w:t>
      </w:r>
      <w:r w:rsidRPr="009C2EF2">
        <w:rPr>
          <w:rFonts w:ascii="Times New Roman" w:hAnsi="Times New Roman"/>
          <w:i/>
          <w:color w:val="231F20"/>
          <w:spacing w:val="-2"/>
          <w:sz w:val="24"/>
          <w:szCs w:val="24"/>
          <w:lang w:val="az-Latn-AZ"/>
        </w:rPr>
        <w:t>aktiv(lər)i</w:t>
      </w:r>
      <w:r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 xml:space="preserve">qiymətləndirmənin məqsədini </w:t>
      </w:r>
      <w:r w:rsidRPr="009C2EF2">
        <w:rPr>
          <w:rFonts w:ascii="Times New Roman" w:hAnsi="Times New Roman"/>
          <w:color w:val="231F20"/>
          <w:sz w:val="24"/>
          <w:szCs w:val="24"/>
          <w:lang w:val="az-Latn-AZ"/>
        </w:rPr>
        <w:t>və qiymətləndirmədə iştirak edən tərəflərin öhdəliklərini təsvir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DA349A">
      <w:pPr>
        <w:pStyle w:val="a3"/>
        <w:numPr>
          <w:ilvl w:val="1"/>
          <w:numId w:val="111"/>
        </w:numPr>
        <w:tabs>
          <w:tab w:val="left" w:pos="681"/>
        </w:tabs>
        <w:kinsoku w:val="0"/>
        <w:overflowPunct w:val="0"/>
        <w:spacing w:line="250" w:lineRule="auto"/>
        <w:ind w:left="68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Bu standartın qiymətləndirmə tapşırığının geniş spektrinə tətbiq olunacağı nəzərdə tutulub:</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DA349A">
      <w:pPr>
        <w:pStyle w:val="a3"/>
        <w:numPr>
          <w:ilvl w:val="2"/>
          <w:numId w:val="111"/>
        </w:numPr>
        <w:tabs>
          <w:tab w:val="left" w:pos="965"/>
        </w:tabs>
        <w:kinsoku w:val="0"/>
        <w:overflowPunct w:val="0"/>
        <w:spacing w:line="250" w:lineRule="auto"/>
        <w:ind w:left="964" w:right="1026"/>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tərəfindən işçilər üzrə aparılmış qiymətləndirmələr ("daxili qiymətləndirmələr"),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DA349A">
      <w:pPr>
        <w:pStyle w:val="a3"/>
        <w:numPr>
          <w:ilvl w:val="2"/>
          <w:numId w:val="111"/>
        </w:numPr>
        <w:tabs>
          <w:tab w:val="left" w:pos="965"/>
          <w:tab w:val="left" w:pos="6096"/>
        </w:tabs>
        <w:kinsoku w:val="0"/>
        <w:overflowPunct w:val="0"/>
        <w:spacing w:line="250" w:lineRule="auto"/>
        <w:ind w:left="964" w:right="1026"/>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tərəfindən </w:t>
      </w:r>
      <w:r w:rsidRPr="009C2EF2">
        <w:rPr>
          <w:rFonts w:ascii="Times New Roman" w:hAnsi="Times New Roman"/>
          <w:i/>
          <w:color w:val="231F20"/>
          <w:sz w:val="24"/>
          <w:szCs w:val="24"/>
          <w:lang w:val="az-Latn-AZ"/>
        </w:rPr>
        <w:t xml:space="preserve">müştərilər </w:t>
      </w:r>
      <w:r w:rsidRPr="009C2EF2">
        <w:rPr>
          <w:rFonts w:ascii="Times New Roman" w:hAnsi="Times New Roman"/>
          <w:color w:val="231F20"/>
          <w:sz w:val="24"/>
          <w:szCs w:val="24"/>
          <w:lang w:val="az-Latn-AZ"/>
        </w:rPr>
        <w:t>üzrə aparılmış qiymətləndirmələr ("üçüncü-tərəf qiymətləndirmələri")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11"/>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rəyin tələb </w:t>
      </w:r>
      <w:r w:rsidRPr="009C2EF2">
        <w:rPr>
          <w:rFonts w:ascii="Times New Roman" w:hAnsi="Times New Roman"/>
          <w:i/>
          <w:color w:val="231F20"/>
          <w:spacing w:val="-1"/>
          <w:sz w:val="24"/>
          <w:szCs w:val="24"/>
          <w:lang w:val="az-Latn-AZ"/>
        </w:rPr>
        <w:t xml:space="preserve">olunmayacağı </w:t>
      </w:r>
      <w:r w:rsidRPr="009C2EF2">
        <w:rPr>
          <w:rFonts w:ascii="Times New Roman" w:hAnsi="Times New Roman"/>
          <w:color w:val="231F20"/>
          <w:sz w:val="24"/>
          <w:szCs w:val="24"/>
          <w:lang w:val="az-Latn-AZ"/>
        </w:rPr>
        <w:t>qiymətləndirməyə baxış.</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10"/>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Ümumi tələblər</w:t>
      </w:r>
    </w:p>
    <w:p w:rsidR="00D02DD9" w:rsidRPr="009C2EF2" w:rsidRDefault="003C64E0">
      <w:pPr>
        <w:pStyle w:val="a3"/>
        <w:numPr>
          <w:ilvl w:val="1"/>
          <w:numId w:val="110"/>
        </w:numPr>
        <w:tabs>
          <w:tab w:val="left" w:pos="681"/>
        </w:tabs>
        <w:kinsoku w:val="0"/>
        <w:overflowPunct w:val="0"/>
        <w:spacing w:before="122" w:line="250" w:lineRule="auto"/>
        <w:ind w:left="680" w:right="144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texnikası və onun hazırlanması ilə bağlı görülmüş işlər qarşıya qoyulmuş </w:t>
      </w:r>
      <w:r w:rsidRPr="009C2EF2">
        <w:rPr>
          <w:rFonts w:ascii="Times New Roman" w:hAnsi="Times New Roman"/>
          <w:i/>
          <w:color w:val="231F20"/>
          <w:sz w:val="24"/>
          <w:szCs w:val="24"/>
          <w:lang w:val="az-Latn-AZ"/>
        </w:rPr>
        <w:t>məqsədə</w:t>
      </w:r>
      <w:r w:rsidRPr="009C2EF2">
        <w:rPr>
          <w:rFonts w:ascii="Times New Roman" w:hAnsi="Times New Roman"/>
          <w:color w:val="231F20"/>
          <w:spacing w:val="1"/>
          <w:sz w:val="24"/>
          <w:szCs w:val="24"/>
          <w:lang w:val="az-Latn-AZ"/>
        </w:rPr>
        <w:t xml:space="preserve"> uyğun </w:t>
      </w:r>
      <w:r w:rsidRPr="009C2EF2">
        <w:rPr>
          <w:rFonts w:ascii="Times New Roman" w:hAnsi="Times New Roman"/>
          <w:i/>
          <w:color w:val="231F20"/>
          <w:sz w:val="24"/>
          <w:szCs w:val="24"/>
          <w:lang w:val="az-Latn-AZ"/>
        </w:rPr>
        <w:t>olmalıdır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DA349A">
      <w:pPr>
        <w:pStyle w:val="a3"/>
        <w:numPr>
          <w:ilvl w:val="1"/>
          <w:numId w:val="110"/>
        </w:numPr>
        <w:tabs>
          <w:tab w:val="left" w:pos="681"/>
        </w:tabs>
        <w:kinsoku w:val="0"/>
        <w:overflowPunct w:val="0"/>
        <w:spacing w:line="250" w:lineRule="auto"/>
        <w:ind w:left="680" w:right="1134"/>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təmin olunacaq məlumatların və işin başa çatdırılmasından və hesabatın təqdim olunmasından öncə onun istifadəsi ilə bağlı müəyyən edilmiş məhdudiyyətlərin qiymətləndirmə texnikasını qəbul edən şəxs(lər) tərəfindən başa düşüldüyündən əmin olmalıdır.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DA349A">
      <w:pPr>
        <w:pStyle w:val="a3"/>
        <w:numPr>
          <w:ilvl w:val="1"/>
          <w:numId w:val="110"/>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lastRenderedPageBreak/>
        <w:t xml:space="preserve">Qiymətləndirici </w:t>
      </w:r>
      <w:r w:rsidRPr="009C2EF2">
        <w:rPr>
          <w:rFonts w:ascii="Times New Roman" w:hAnsi="Times New Roman"/>
          <w:color w:val="231F20"/>
          <w:sz w:val="24"/>
          <w:szCs w:val="24"/>
          <w:lang w:val="az-Latn-AZ"/>
        </w:rPr>
        <w:t xml:space="preserve">tapşırıq başa çatdırılmazdan öncə işin əhatə dairəsi </w:t>
      </w:r>
      <w:r w:rsidRPr="009C2EF2">
        <w:rPr>
          <w:rFonts w:ascii="Times New Roman" w:hAnsi="Times New Roman"/>
          <w:i/>
          <w:color w:val="231F20"/>
          <w:sz w:val="24"/>
          <w:szCs w:val="24"/>
          <w:lang w:val="az-Latn-AZ"/>
        </w:rPr>
        <w:t xml:space="preserve">ilə müştərini </w:t>
      </w:r>
      <w:r w:rsidRPr="009C2EF2">
        <w:rPr>
          <w:rFonts w:ascii="Times New Roman" w:hAnsi="Times New Roman"/>
          <w:color w:val="231F20"/>
          <w:sz w:val="24"/>
          <w:szCs w:val="24"/>
          <w:lang w:val="az-Latn-AZ"/>
        </w:rPr>
        <w:t>tanış etməlidir: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8D46C8" w:rsidRDefault="003C64E0" w:rsidP="00A72C8E">
      <w:pPr>
        <w:pStyle w:val="a3"/>
        <w:numPr>
          <w:ilvl w:val="2"/>
          <w:numId w:val="110"/>
        </w:numPr>
        <w:tabs>
          <w:tab w:val="left" w:pos="709"/>
        </w:tabs>
        <w:kinsoku w:val="0"/>
        <w:overflowPunct w:val="0"/>
        <w:spacing w:line="250" w:lineRule="auto"/>
        <w:ind w:left="426" w:right="1026"/>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 </w:t>
      </w:r>
      <w:r w:rsidRPr="009C2EF2">
        <w:rPr>
          <w:rFonts w:ascii="Times New Roman" w:hAnsi="Times New Roman"/>
          <w:color w:val="231F20"/>
          <w:spacing w:val="1"/>
          <w:sz w:val="24"/>
          <w:szCs w:val="24"/>
          <w:lang w:val="az-Latn-AZ"/>
        </w:rPr>
        <w:t xml:space="preserve">haqqında məlumat: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şəxs, şəxslər qrupu və ya şirkət ola bilər. </w:t>
      </w:r>
      <w:r w:rsidRPr="009C2EF2">
        <w:rPr>
          <w:rFonts w:ascii="Times New Roman" w:hAnsi="Times New Roman"/>
          <w:i/>
          <w:color w:val="231F20"/>
          <w:sz w:val="24"/>
          <w:szCs w:val="24"/>
          <w:lang w:val="az-Latn-AZ"/>
        </w:rPr>
        <w:t>Qiymətləndiricinin</w:t>
      </w:r>
      <w:r w:rsidR="008D46C8">
        <w:rPr>
          <w:rFonts w:ascii="Times New Roman" w:hAnsi="Times New Roman"/>
          <w:color w:val="000000"/>
          <w:sz w:val="24"/>
          <w:szCs w:val="24"/>
          <w:lang w:val="az-Latn-AZ"/>
        </w:rPr>
        <w:t xml:space="preserve"> </w:t>
      </w:r>
      <w:r w:rsidRPr="008D46C8">
        <w:rPr>
          <w:rFonts w:ascii="Times New Roman" w:hAnsi="Times New Roman"/>
          <w:color w:val="231F20"/>
          <w:spacing w:val="-1"/>
          <w:sz w:val="24"/>
          <w:szCs w:val="24"/>
          <w:lang w:val="az-Latn-AZ"/>
        </w:rPr>
        <w:t xml:space="preserve">qiymətləndirilən </w:t>
      </w:r>
      <w:r w:rsidRPr="008D46C8">
        <w:rPr>
          <w:rFonts w:ascii="Times New Roman" w:hAnsi="Times New Roman"/>
          <w:i/>
          <w:color w:val="231F20"/>
          <w:sz w:val="24"/>
          <w:szCs w:val="24"/>
          <w:lang w:val="az-Latn-AZ"/>
        </w:rPr>
        <w:t xml:space="preserve">aktiv </w:t>
      </w:r>
      <w:r w:rsidRPr="008D46C8">
        <w:rPr>
          <w:rFonts w:ascii="Times New Roman" w:hAnsi="Times New Roman"/>
          <w:color w:val="231F20"/>
          <w:spacing w:val="-1"/>
          <w:sz w:val="24"/>
          <w:szCs w:val="24"/>
          <w:lang w:val="az-Latn-AZ"/>
        </w:rPr>
        <w:t xml:space="preserve">ilə və ya qiymətləndirmə tapşırığında iştirak edən digər tərəflərlə əlaqəsinin olması amili və ya qərəzsiz və obyektiv qiymətləndirmənin aparılması ilə bağlı </w:t>
      </w:r>
      <w:r w:rsidRPr="008D46C8">
        <w:rPr>
          <w:rFonts w:ascii="Times New Roman" w:hAnsi="Times New Roman"/>
          <w:i/>
          <w:color w:val="231F20"/>
          <w:spacing w:val="-1"/>
          <w:sz w:val="24"/>
          <w:szCs w:val="24"/>
          <w:lang w:val="az-Latn-AZ"/>
        </w:rPr>
        <w:t xml:space="preserve">qiymətləndiricinin </w:t>
      </w:r>
      <w:r w:rsidRPr="008D46C8">
        <w:rPr>
          <w:rFonts w:ascii="Times New Roman" w:hAnsi="Times New Roman"/>
          <w:color w:val="231F20"/>
          <w:spacing w:val="-1"/>
          <w:sz w:val="24"/>
          <w:szCs w:val="24"/>
          <w:lang w:val="az-Latn-AZ"/>
        </w:rPr>
        <w:t>qabiliyyətini məhdudlaşdıracaq digər amillər qabaqcadan</w:t>
      </w:r>
      <w:r w:rsidR="008C0BBA" w:rsidRPr="008D46C8">
        <w:rPr>
          <w:rFonts w:ascii="Times New Roman" w:hAnsi="Times New Roman"/>
          <w:color w:val="231F20"/>
          <w:spacing w:val="-1"/>
          <w:sz w:val="24"/>
          <w:szCs w:val="24"/>
          <w:lang w:val="az-Latn-AZ"/>
        </w:rPr>
        <w:t xml:space="preserve"> </w:t>
      </w:r>
      <w:r w:rsidRPr="008D46C8">
        <w:rPr>
          <w:rFonts w:ascii="Times New Roman" w:hAnsi="Times New Roman"/>
          <w:i/>
          <w:color w:val="231F20"/>
          <w:sz w:val="24"/>
          <w:szCs w:val="24"/>
          <w:lang w:val="az-Latn-AZ"/>
        </w:rPr>
        <w:t>müəyyən edilməlidir</w:t>
      </w:r>
      <w:r w:rsidRPr="008D46C8">
        <w:rPr>
          <w:rFonts w:ascii="Times New Roman" w:hAnsi="Times New Roman"/>
          <w:color w:val="231F20"/>
          <w:spacing w:val="-1"/>
          <w:sz w:val="24"/>
          <w:szCs w:val="24"/>
          <w:lang w:val="az-Latn-AZ"/>
        </w:rPr>
        <w:t xml:space="preserve">. Belə bir açıqlamanın olmaması qiymətləndirmə tapşırığının BQS-ə uyğun gəlmədiyi qənaətindədir. </w:t>
      </w:r>
      <w:r w:rsidRPr="008D46C8">
        <w:rPr>
          <w:rFonts w:ascii="Times New Roman" w:hAnsi="Times New Roman"/>
          <w:i/>
          <w:color w:val="231F20"/>
          <w:sz w:val="24"/>
          <w:szCs w:val="24"/>
          <w:lang w:val="az-Latn-AZ"/>
        </w:rPr>
        <w:t xml:space="preserve">Qiymətləndirici </w:t>
      </w:r>
      <w:r w:rsidRPr="008D46C8">
        <w:rPr>
          <w:rFonts w:ascii="Times New Roman" w:hAnsi="Times New Roman"/>
          <w:color w:val="231F20"/>
          <w:spacing w:val="-1"/>
          <w:sz w:val="24"/>
          <w:szCs w:val="24"/>
          <w:lang w:val="az-Latn-AZ"/>
        </w:rPr>
        <w:t>tapşı</w:t>
      </w:r>
      <w:r w:rsidR="008C0BBA" w:rsidRPr="008D46C8">
        <w:rPr>
          <w:rFonts w:ascii="Times New Roman" w:hAnsi="Times New Roman"/>
          <w:color w:val="231F20"/>
          <w:spacing w:val="-1"/>
          <w:sz w:val="24"/>
          <w:szCs w:val="24"/>
          <w:lang w:val="az-Latn-AZ"/>
        </w:rPr>
        <w:t>rı</w:t>
      </w:r>
      <w:r w:rsidRPr="008D46C8">
        <w:rPr>
          <w:rFonts w:ascii="Times New Roman" w:hAnsi="Times New Roman"/>
          <w:color w:val="231F20"/>
          <w:spacing w:val="-1"/>
          <w:sz w:val="24"/>
          <w:szCs w:val="24"/>
          <w:lang w:val="az-Latn-AZ"/>
        </w:rPr>
        <w:t xml:space="preserve">ğın müəyyən aspekti ilə bağlı başqalarından </w:t>
      </w:r>
      <w:r w:rsidRPr="008D46C8">
        <w:rPr>
          <w:rFonts w:ascii="Times New Roman" w:hAnsi="Times New Roman"/>
          <w:i/>
          <w:color w:val="231F20"/>
          <w:sz w:val="24"/>
          <w:szCs w:val="24"/>
          <w:lang w:val="az-Latn-AZ"/>
        </w:rPr>
        <w:t xml:space="preserve">əhəmiyyətli </w:t>
      </w:r>
      <w:r w:rsidRPr="008D46C8">
        <w:rPr>
          <w:rFonts w:ascii="Times New Roman" w:hAnsi="Times New Roman"/>
          <w:color w:val="231F20"/>
          <w:spacing w:val="-1"/>
          <w:sz w:val="24"/>
          <w:szCs w:val="24"/>
          <w:lang w:val="az-Latn-AZ"/>
        </w:rPr>
        <w:t xml:space="preserve">yardım istəməli olarsa həmin yardımın növü və onun etibarlı olub-olmaması </w:t>
      </w:r>
      <w:r w:rsidRPr="008D46C8">
        <w:rPr>
          <w:rFonts w:ascii="Times New Roman" w:hAnsi="Times New Roman"/>
          <w:i/>
          <w:color w:val="231F20"/>
          <w:sz w:val="24"/>
          <w:szCs w:val="24"/>
          <w:lang w:val="az-Latn-AZ"/>
        </w:rPr>
        <w:t>dəqiqləşdirilməlidir</w:t>
      </w:r>
      <w:r w:rsidRPr="008D46C8">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rsidP="00A72C8E">
      <w:pPr>
        <w:pStyle w:val="a3"/>
        <w:numPr>
          <w:ilvl w:val="2"/>
          <w:numId w:val="110"/>
        </w:numPr>
        <w:tabs>
          <w:tab w:val="left" w:pos="1560"/>
        </w:tabs>
        <w:kinsoku w:val="0"/>
        <w:overflowPunct w:val="0"/>
        <w:spacing w:line="250" w:lineRule="auto"/>
        <w:ind w:left="426" w:right="1053"/>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48160" behindDoc="0" locked="0" layoutInCell="0" allowOverlap="1">
                <wp:simplePos x="0" y="0"/>
                <wp:positionH relativeFrom="page">
                  <wp:posOffset>151130</wp:posOffset>
                </wp:positionH>
                <wp:positionV relativeFrom="paragraph">
                  <wp:posOffset>149860</wp:posOffset>
                </wp:positionV>
                <wp:extent cx="152400" cy="3691255"/>
                <wp:effectExtent l="0" t="0" r="0" b="0"/>
                <wp:wrapNone/>
                <wp:docPr id="2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69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101 İşin Əhatə Dairəsi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left:0;text-align:left;margin-left:11.9pt;margin-top:11.8pt;width:12pt;height:290.6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101 İşin Əhatə Dairəsi</w:t>
                      </w:r>
                    </w:p>
                  </w:txbxContent>
                </v:textbox>
                <w10:wrap anchorx="page"/>
              </v:shape>
            </w:pict>
          </mc:Fallback>
        </mc:AlternateContent>
      </w:r>
      <w:r w:rsidR="003C64E0" w:rsidRPr="009C2EF2">
        <w:rPr>
          <w:rFonts w:ascii="Times New Roman" w:hAnsi="Times New Roman"/>
          <w:i/>
          <w:color w:val="231F20"/>
          <w:spacing w:val="-1"/>
          <w:sz w:val="24"/>
          <w:szCs w:val="24"/>
          <w:lang w:val="az-Latn-AZ"/>
        </w:rPr>
        <w:t xml:space="preserve">Müştəri(lər) </w:t>
      </w:r>
      <w:r w:rsidR="003C64E0" w:rsidRPr="009C2EF2">
        <w:rPr>
          <w:rFonts w:ascii="Times New Roman" w:hAnsi="Times New Roman"/>
          <w:color w:val="231F20"/>
          <w:spacing w:val="1"/>
          <w:sz w:val="24"/>
          <w:szCs w:val="24"/>
          <w:lang w:val="az-Latn-AZ"/>
        </w:rPr>
        <w:t>haqqında məlumat: Hesabatda lazımi informasiyanın saxlanıdığından əmin olmaq üçün hesabat formasının və məzmununun müəyyənləşdirilməsi zaman qiymətləndirmə tapşırığının təyin olunduğu şəxslərin təsdiqi vacibdir.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tabs>
          <w:tab w:val="left" w:pos="2410"/>
        </w:tabs>
        <w:kinsoku w:val="0"/>
        <w:overflowPunct w:val="0"/>
        <w:spacing w:line="250" w:lineRule="auto"/>
        <w:ind w:left="567" w:right="105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Nəzərdə tutulmuş başqa istifadəçilər haqqında məlumat: Hesabat forması və məzmununun istifadəçilərin tələblərini əhatə etdiyindən əmin olmaq üçün qiymətləndirmə hesabatında nəzərdə tutulmuş başqa istifadəçilərin olub-olmamasını, onların kim olduğunu və tələblərinin nədən ibarət olduğunu başa düşmək vacibdir.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8D46C8" w:rsidRDefault="003C64E0" w:rsidP="00A72C8E">
      <w:pPr>
        <w:pStyle w:val="a3"/>
        <w:numPr>
          <w:ilvl w:val="2"/>
          <w:numId w:val="110"/>
        </w:numPr>
        <w:kinsoku w:val="0"/>
        <w:overflowPunct w:val="0"/>
        <w:ind w:left="567" w:right="105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Qiymətləndirmə tapşırığında iştirak edən </w:t>
      </w:r>
      <w:r w:rsidRPr="009C2EF2">
        <w:rPr>
          <w:rFonts w:ascii="Times New Roman" w:hAnsi="Times New Roman"/>
          <w:i/>
          <w:color w:val="231F20"/>
          <w:sz w:val="24"/>
          <w:szCs w:val="24"/>
          <w:lang w:val="az-Latn-AZ"/>
        </w:rPr>
        <w:t>aktiv</w:t>
      </w:r>
      <w:r w:rsidR="008D46C8">
        <w:rPr>
          <w:rFonts w:ascii="Times New Roman" w:hAnsi="Times New Roman"/>
          <w:color w:val="000000"/>
          <w:sz w:val="24"/>
          <w:szCs w:val="24"/>
          <w:lang w:val="az-Latn-AZ"/>
        </w:rPr>
        <w:t xml:space="preserve"> </w:t>
      </w:r>
      <w:r w:rsidRPr="008D46C8">
        <w:rPr>
          <w:rFonts w:ascii="Times New Roman" w:hAnsi="Times New Roman"/>
          <w:color w:val="231F20"/>
          <w:sz w:val="24"/>
          <w:szCs w:val="24"/>
          <w:lang w:val="az-Latn-AZ"/>
        </w:rPr>
        <w:t xml:space="preserve">dəqiq müəyyən </w:t>
      </w:r>
      <w:r w:rsidRPr="008D46C8">
        <w:rPr>
          <w:rFonts w:ascii="Times New Roman" w:hAnsi="Times New Roman"/>
          <w:i/>
          <w:color w:val="231F20"/>
          <w:sz w:val="24"/>
          <w:szCs w:val="24"/>
          <w:lang w:val="az-Latn-AZ"/>
        </w:rPr>
        <w:t>edilməlidir</w:t>
      </w:r>
      <w:r w:rsidRPr="008D46C8">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A72C8E">
      <w:pPr>
        <w:pStyle w:val="a3"/>
        <w:numPr>
          <w:ilvl w:val="2"/>
          <w:numId w:val="110"/>
        </w:numPr>
        <w:kinsoku w:val="0"/>
        <w:overflowPunct w:val="0"/>
        <w:spacing w:line="250" w:lineRule="auto"/>
        <w:ind w:left="567" w:right="105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valyutası: Qiymətləndirmə valyutası müəyyən edilməli və yekun qiymətləndirmə hesabatı </w:t>
      </w:r>
      <w:r w:rsidRPr="009C2EF2">
        <w:rPr>
          <w:rFonts w:ascii="Times New Roman" w:hAnsi="Times New Roman"/>
          <w:i/>
          <w:color w:val="231F20"/>
          <w:sz w:val="24"/>
          <w:szCs w:val="24"/>
          <w:lang w:val="az-Latn-AZ"/>
        </w:rPr>
        <w:t>hazırlanmalıdır</w:t>
      </w:r>
      <w:r w:rsidRPr="009C2EF2">
        <w:rPr>
          <w:rFonts w:ascii="Times New Roman" w:hAnsi="Times New Roman"/>
          <w:color w:val="231F20"/>
          <w:sz w:val="24"/>
          <w:szCs w:val="24"/>
          <w:lang w:val="az-Latn-AZ"/>
        </w:rPr>
        <w:t xml:space="preserve">. Məsələn, qiymətləndirmə avro və ya ABŞ dolları şəklində müəyyən edilə bilər.  Bu tələb xüsusilə də bir neçə ölkədən cəlb olunmuş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və pul axınlarının (müxtəlif valyutalarda) iştirak etdiyi qiymətləndirmə tapşırıqlarında vacib hesab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tabs>
          <w:tab w:val="left" w:pos="2268"/>
        </w:tabs>
        <w:kinsoku w:val="0"/>
        <w:overflowPunct w:val="0"/>
        <w:spacing w:line="250" w:lineRule="auto"/>
        <w:ind w:left="567" w:right="1235"/>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Qiymətləndirmənin məqsədi: </w:t>
      </w:r>
      <w:r w:rsidRPr="009C2EF2">
        <w:rPr>
          <w:rFonts w:ascii="Times New Roman" w:hAnsi="Times New Roman"/>
          <w:color w:val="231F20"/>
          <w:sz w:val="24"/>
          <w:szCs w:val="24"/>
          <w:lang w:val="az-Latn-AZ"/>
        </w:rPr>
        <w:t xml:space="preserve">Qiymətləndirmə tapşırığının </w:t>
      </w:r>
      <w:r w:rsidRPr="009C2EF2">
        <w:rPr>
          <w:rFonts w:ascii="Times New Roman" w:hAnsi="Times New Roman"/>
          <w:i/>
          <w:color w:val="231F20"/>
          <w:spacing w:val="1"/>
          <w:sz w:val="24"/>
          <w:szCs w:val="24"/>
          <w:lang w:val="az-Latn-AZ"/>
        </w:rPr>
        <w:t xml:space="preserve">məqsədi </w:t>
      </w:r>
      <w:r w:rsidRPr="009C2EF2">
        <w:rPr>
          <w:rFonts w:ascii="Times New Roman" w:hAnsi="Times New Roman"/>
          <w:color w:val="231F20"/>
          <w:sz w:val="24"/>
          <w:szCs w:val="24"/>
          <w:lang w:val="az-Latn-AZ"/>
        </w:rPr>
        <w:t xml:space="preserve">dəqiq müəyyən </w:t>
      </w:r>
      <w:r w:rsidRPr="009C2EF2">
        <w:rPr>
          <w:rFonts w:ascii="Times New Roman" w:hAnsi="Times New Roman"/>
          <w:i/>
          <w:color w:val="231F20"/>
          <w:sz w:val="24"/>
          <w:szCs w:val="24"/>
          <w:lang w:val="az-Latn-AZ"/>
        </w:rPr>
        <w:t>edilməlidir</w:t>
      </w:r>
      <w:r w:rsidRPr="009C2EF2">
        <w:rPr>
          <w:rFonts w:ascii="Times New Roman" w:hAnsi="Times New Roman"/>
          <w:color w:val="231F20"/>
          <w:sz w:val="24"/>
          <w:szCs w:val="24"/>
          <w:lang w:val="az-Latn-AZ"/>
        </w:rPr>
        <w:t xml:space="preserve"> və kontekst xaricində və ya nəzərdə tutulmamış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z w:val="24"/>
          <w:szCs w:val="24"/>
          <w:lang w:val="az-Latn-AZ"/>
        </w:rPr>
        <w:t xml:space="preserve">üçün qiymətləndirmə texnikasından istifadə edilməməlidir. </w:t>
      </w:r>
      <w:r w:rsidRPr="009C2EF2">
        <w:rPr>
          <w:rFonts w:ascii="Times New Roman" w:hAnsi="Times New Roman"/>
          <w:i/>
          <w:color w:val="231F20"/>
          <w:spacing w:val="1"/>
          <w:sz w:val="24"/>
          <w:szCs w:val="24"/>
          <w:lang w:val="az-Latn-AZ"/>
        </w:rPr>
        <w:t xml:space="preserve">Qiymətləndirmənin məqsədi, </w:t>
      </w:r>
      <w:r w:rsidRPr="009C2EF2">
        <w:rPr>
          <w:rFonts w:ascii="Times New Roman" w:hAnsi="Times New Roman"/>
          <w:color w:val="231F20"/>
          <w:sz w:val="24"/>
          <w:szCs w:val="24"/>
          <w:lang w:val="az-Latn-AZ"/>
        </w:rPr>
        <w:t>həmçinin, istifadə olunan dəyər bazasına/bazalarına təsir etmək və ya onları müəyyənləşdirməkdir.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kinsoku w:val="0"/>
        <w:overflowPunct w:val="0"/>
        <w:spacing w:line="250" w:lineRule="auto"/>
        <w:ind w:left="567"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İstifadə olunan dəyər bazası/bazaları: BQS 104 </w:t>
      </w:r>
      <w:r w:rsidRPr="009C2EF2">
        <w:rPr>
          <w:rFonts w:ascii="Times New Roman" w:hAnsi="Times New Roman"/>
          <w:i/>
          <w:color w:val="231F20"/>
          <w:sz w:val="24"/>
          <w:szCs w:val="24"/>
          <w:lang w:val="az-Latn-AZ"/>
        </w:rPr>
        <w:t>Dəyər Bazaları</w:t>
      </w:r>
      <w:r w:rsidRPr="009C2EF2">
        <w:rPr>
          <w:rFonts w:ascii="Times New Roman" w:hAnsi="Times New Roman"/>
          <w:color w:val="231F20"/>
          <w:spacing w:val="1"/>
          <w:sz w:val="24"/>
          <w:szCs w:val="24"/>
          <w:lang w:val="az-Latn-AZ"/>
        </w:rPr>
        <w:t xml:space="preserve"> standartına əsasən, qiymətləndirmə bazası </w:t>
      </w:r>
      <w:r w:rsidRPr="009C2EF2">
        <w:rPr>
          <w:rFonts w:ascii="Times New Roman" w:hAnsi="Times New Roman"/>
          <w:i/>
          <w:color w:val="231F20"/>
          <w:spacing w:val="1"/>
          <w:sz w:val="24"/>
          <w:szCs w:val="24"/>
          <w:lang w:val="az-Latn-AZ"/>
        </w:rPr>
        <w:t xml:space="preserve">qiymətləndirmə texnikasına </w:t>
      </w:r>
      <w:r w:rsidRPr="009C2EF2">
        <w:rPr>
          <w:rFonts w:ascii="Times New Roman" w:hAnsi="Times New Roman"/>
          <w:color w:val="231F20"/>
          <w:spacing w:val="1"/>
          <w:sz w:val="24"/>
          <w:szCs w:val="24"/>
          <w:lang w:val="az-Latn-AZ"/>
        </w:rPr>
        <w:t xml:space="preserve">uyğun </w:t>
      </w:r>
      <w:r w:rsidRPr="009C2EF2">
        <w:rPr>
          <w:rFonts w:ascii="Times New Roman" w:hAnsi="Times New Roman"/>
          <w:i/>
          <w:color w:val="231F20"/>
          <w:sz w:val="24"/>
          <w:szCs w:val="24"/>
          <w:lang w:val="az-Latn-AZ"/>
        </w:rPr>
        <w:t>olmalıdır</w:t>
      </w:r>
      <w:r w:rsidR="007562F0" w:rsidRPr="009C2EF2">
        <w:rPr>
          <w:rFonts w:ascii="Times New Roman" w:hAnsi="Times New Roman"/>
          <w:color w:val="231F20"/>
          <w:spacing w:val="1"/>
          <w:sz w:val="24"/>
          <w:szCs w:val="24"/>
          <w:lang w:val="az-Latn-AZ"/>
        </w:rPr>
        <w:t>. İ</w:t>
      </w:r>
      <w:r w:rsidRPr="009C2EF2">
        <w:rPr>
          <w:rFonts w:ascii="Times New Roman" w:hAnsi="Times New Roman"/>
          <w:color w:val="231F20"/>
          <w:spacing w:val="1"/>
          <w:sz w:val="24"/>
          <w:szCs w:val="24"/>
          <w:lang w:val="az-Latn-AZ"/>
        </w:rPr>
        <w:t>stifadə olunan hər hansı dəyər bazasının istinad edildiyi mənbə qeyd olunmalı və yaxud da bazanın izahı</w:t>
      </w:r>
      <w:r w:rsidR="007562F0"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verilməlidir</w:t>
      </w:r>
      <w:r w:rsidRPr="009C2EF2">
        <w:rPr>
          <w:rFonts w:ascii="Times New Roman" w:hAnsi="Times New Roman"/>
          <w:color w:val="231F20"/>
          <w:spacing w:val="1"/>
          <w:sz w:val="24"/>
          <w:szCs w:val="24"/>
          <w:lang w:val="az-Latn-AZ"/>
        </w:rPr>
        <w:t>. Bu tələb dəyər ilə bağlı rəyin verilməyəcəyi və istifadə olunan dəyər bazası üzrə rəyçinin fikrinin tələb olunmayacağı qiymətləndirmə xülasəsinə şamil olunmur.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tabs>
          <w:tab w:val="left" w:pos="1560"/>
        </w:tabs>
        <w:kinsoku w:val="0"/>
        <w:overflowPunct w:val="0"/>
        <w:spacing w:line="250" w:lineRule="auto"/>
        <w:ind w:left="567" w:right="1195"/>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tarixi qeyd </w:t>
      </w:r>
      <w:r w:rsidRPr="009C2EF2">
        <w:rPr>
          <w:rFonts w:ascii="Times New Roman" w:hAnsi="Times New Roman"/>
          <w:i/>
          <w:color w:val="231F20"/>
          <w:sz w:val="24"/>
          <w:szCs w:val="24"/>
          <w:lang w:val="az-Latn-AZ"/>
        </w:rPr>
        <w:t>olunmalıdır</w:t>
      </w:r>
      <w:r w:rsidRPr="009C2EF2">
        <w:rPr>
          <w:rFonts w:ascii="Times New Roman" w:hAnsi="Times New Roman"/>
          <w:color w:val="231F20"/>
          <w:spacing w:val="-1"/>
          <w:sz w:val="24"/>
          <w:szCs w:val="24"/>
          <w:lang w:val="az-Latn-AZ"/>
        </w:rPr>
        <w:t xml:space="preserve">. Qiymətləndirmə tarixi qiymətləndirmə hesabatının verilmə tarixi ilə və ya araşdırmaların aparılma tarixi ilə üst-üstə düşməzsə bu tarixlər ayrıca qeyd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kinsoku w:val="0"/>
        <w:overflowPunct w:val="0"/>
        <w:spacing w:line="250" w:lineRule="auto"/>
        <w:ind w:left="567" w:right="111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işinin növü, miqyası və müvafiq məhdudiyyətlər: Qiymətlə</w:t>
      </w:r>
      <w:r w:rsidR="007562F0" w:rsidRPr="009C2EF2">
        <w:rPr>
          <w:rFonts w:ascii="Times New Roman" w:hAnsi="Times New Roman"/>
          <w:color w:val="231F20"/>
          <w:sz w:val="24"/>
          <w:szCs w:val="24"/>
          <w:lang w:val="az-Latn-AZ"/>
        </w:rPr>
        <w:t>n</w:t>
      </w:r>
      <w:r w:rsidRPr="009C2EF2">
        <w:rPr>
          <w:rFonts w:ascii="Times New Roman" w:hAnsi="Times New Roman"/>
          <w:color w:val="231F20"/>
          <w:sz w:val="24"/>
          <w:szCs w:val="24"/>
          <w:lang w:val="az-Latn-AZ"/>
        </w:rPr>
        <w:t>dirmə tapşırığının yoxla</w:t>
      </w:r>
      <w:r w:rsidR="007562F0" w:rsidRPr="009C2EF2">
        <w:rPr>
          <w:rFonts w:ascii="Times New Roman" w:hAnsi="Times New Roman"/>
          <w:color w:val="231F20"/>
          <w:sz w:val="24"/>
          <w:szCs w:val="24"/>
          <w:lang w:val="az-Latn-AZ"/>
        </w:rPr>
        <w:t>n</w:t>
      </w:r>
      <w:r w:rsidRPr="009C2EF2">
        <w:rPr>
          <w:rFonts w:ascii="Times New Roman" w:hAnsi="Times New Roman"/>
          <w:color w:val="231F20"/>
          <w:sz w:val="24"/>
          <w:szCs w:val="24"/>
          <w:lang w:val="az-Latn-AZ"/>
        </w:rPr>
        <w:t xml:space="preserve">ması, araşdırması və təhlili ilə bağlı məhdudiyyətlər </w:t>
      </w:r>
      <w:r w:rsidRPr="009C2EF2">
        <w:rPr>
          <w:rFonts w:ascii="Times New Roman" w:hAnsi="Times New Roman"/>
          <w:i/>
          <w:color w:val="231F20"/>
          <w:sz w:val="24"/>
          <w:szCs w:val="24"/>
          <w:lang w:val="az-Latn-AZ"/>
        </w:rPr>
        <w:t xml:space="preserve">müəyyənləşdirilməlidir </w:t>
      </w:r>
      <w:r w:rsidRPr="009C2EF2">
        <w:rPr>
          <w:rFonts w:ascii="Times New Roman" w:hAnsi="Times New Roman"/>
          <w:color w:val="231F20"/>
          <w:sz w:val="24"/>
          <w:szCs w:val="24"/>
          <w:lang w:val="az-Latn-AZ"/>
        </w:rPr>
        <w:t xml:space="preserve">(BQS </w:t>
      </w:r>
      <w:r w:rsidRPr="009C2EF2">
        <w:rPr>
          <w:rFonts w:ascii="Times New Roman" w:hAnsi="Times New Roman"/>
          <w:i/>
          <w:color w:val="231F20"/>
          <w:sz w:val="24"/>
          <w:szCs w:val="24"/>
          <w:lang w:val="az-Latn-AZ"/>
        </w:rPr>
        <w:t>Çərçivəsi</w:t>
      </w:r>
      <w:r w:rsidRPr="009C2EF2">
        <w:rPr>
          <w:rFonts w:ascii="Times New Roman" w:hAnsi="Times New Roman"/>
          <w:color w:val="231F20"/>
          <w:sz w:val="24"/>
          <w:szCs w:val="24"/>
          <w:lang w:val="az-Latn-AZ"/>
        </w:rPr>
        <w:t xml:space="preserve">, 60.1-60.4-cü bəndlərinə baxın). Tapşırıq şərtlərinin araşdırmanı məhdudlaşdırması səbəbindən lazımi məlumatın əldə olunması mümkün olmazsa bu qadağalar və qadağa ilə bağlı zəruri və ya xüsusi ehtimallar (BQS 104 Dəyər Bazaları, 200.1-200.5-ci bəndlərinə baxın) </w:t>
      </w:r>
      <w:r w:rsidRPr="009C2EF2">
        <w:rPr>
          <w:rFonts w:ascii="Times New Roman" w:hAnsi="Times New Roman"/>
          <w:i/>
          <w:color w:val="231F20"/>
          <w:sz w:val="24"/>
          <w:szCs w:val="24"/>
          <w:lang w:val="az-Latn-AZ"/>
        </w:rPr>
        <w:t>müəyyənləşdirilməlidir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rsidP="00A72C8E">
      <w:pPr>
        <w:pStyle w:val="a3"/>
        <w:numPr>
          <w:ilvl w:val="2"/>
          <w:numId w:val="110"/>
        </w:numPr>
        <w:tabs>
          <w:tab w:val="left" w:pos="709"/>
        </w:tabs>
        <w:kinsoku w:val="0"/>
        <w:overflowPunct w:val="0"/>
        <w:spacing w:before="77" w:line="250" w:lineRule="auto"/>
        <w:ind w:left="567" w:right="1101"/>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istinad etdiyi məlumatların növü və mənbəyi: İstinad ediləcək məlumatların növü və mənbəyi, eləcə də, qiymətləndirmə zamanı aparılacaq yoxlamaların dərəcələri müəyyən </w:t>
      </w:r>
      <w:r w:rsidRPr="009C2EF2">
        <w:rPr>
          <w:rFonts w:ascii="Times New Roman" w:hAnsi="Times New Roman"/>
          <w:i/>
          <w:color w:val="231F20"/>
          <w:sz w:val="24"/>
          <w:szCs w:val="24"/>
          <w:lang w:val="az-Latn-AZ"/>
        </w:rPr>
        <w:t>edilməlidir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kinsoku w:val="0"/>
        <w:overflowPunct w:val="0"/>
        <w:spacing w:line="250" w:lineRule="auto"/>
        <w:ind w:left="567" w:right="1007"/>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 xml:space="preserve">ehtimallar və xüsusi ehtimallar: Qiymətləndirmə tapşırığının icrası və hesabatının hazırlanması ilə bağlı bütün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 xml:space="preserve">və xüsusi ehtimallar </w:t>
      </w:r>
      <w:r w:rsidRPr="009C2EF2">
        <w:rPr>
          <w:rFonts w:ascii="Times New Roman" w:hAnsi="Times New Roman"/>
          <w:i/>
          <w:color w:val="231F20"/>
          <w:sz w:val="24"/>
          <w:szCs w:val="24"/>
          <w:lang w:val="az-Latn-AZ"/>
        </w:rPr>
        <w:t>müəyyənləşdirilməlidir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kinsoku w:val="0"/>
        <w:overflowPunct w:val="0"/>
        <w:spacing w:line="250" w:lineRule="auto"/>
        <w:ind w:left="567" w:right="110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Hazırlanacaq hesabatın növü: Hesabatın forması, yəni qiymətləndirmənin aparılma metodu təsvir </w:t>
      </w:r>
      <w:r w:rsidRPr="009C2EF2">
        <w:rPr>
          <w:rFonts w:ascii="Times New Roman" w:hAnsi="Times New Roman"/>
          <w:i/>
          <w:color w:val="231F20"/>
          <w:sz w:val="24"/>
          <w:szCs w:val="24"/>
          <w:lang w:val="az-Latn-AZ"/>
        </w:rPr>
        <w:t>edilməlidir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rsidP="00A72C8E">
      <w:pPr>
        <w:pStyle w:val="a3"/>
        <w:numPr>
          <w:ilvl w:val="2"/>
          <w:numId w:val="110"/>
        </w:numPr>
        <w:tabs>
          <w:tab w:val="left" w:pos="1418"/>
        </w:tabs>
        <w:kinsoku w:val="0"/>
        <w:overflowPunct w:val="0"/>
        <w:spacing w:line="250" w:lineRule="auto"/>
        <w:ind w:left="567" w:right="986"/>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49184" behindDoc="0" locked="0" layoutInCell="0" allowOverlap="1">
                <wp:simplePos x="0" y="0"/>
                <wp:positionH relativeFrom="page">
                  <wp:posOffset>5276215</wp:posOffset>
                </wp:positionH>
                <wp:positionV relativeFrom="paragraph">
                  <wp:posOffset>283845</wp:posOffset>
                </wp:positionV>
                <wp:extent cx="152400" cy="3708400"/>
                <wp:effectExtent l="0" t="0" r="0" b="0"/>
                <wp:wrapNone/>
                <wp:docPr id="2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70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102 Araşdırmalar və Uyğunluq</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left:0;text-align:left;margin-left:415.45pt;margin-top:22.35pt;width:12pt;height:292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102 Araşdırmalar və Uyğunluq</w:t>
                      </w:r>
                    </w:p>
                  </w:txbxContent>
                </v:textbox>
                <w10:wrap anchorx="page"/>
              </v:shape>
            </w:pict>
          </mc:Fallback>
        </mc:AlternateContent>
      </w:r>
      <w:r w:rsidR="003C64E0" w:rsidRPr="009C2EF2">
        <w:rPr>
          <w:rFonts w:ascii="Times New Roman" w:hAnsi="Times New Roman"/>
          <w:color w:val="231F20"/>
          <w:sz w:val="24"/>
          <w:szCs w:val="24"/>
          <w:lang w:val="az-Latn-AZ"/>
        </w:rPr>
        <w:t xml:space="preserve">Hesabatın istifadəsi, yayılması və nəşrinə dair məhdudiyyətlər Qiymətləndirmənin istifadəsinə dair və ya ondan istifadə edəcək şəxslərlə bağlı məhdudiyyətlərin zəruri olduğu və ya məqsədəuyğun hesab edildiyi təqdirdə nəzərdə tutulmuş istifadəçilər və məhdudiyyətlər </w:t>
      </w:r>
      <w:r w:rsidR="003C64E0" w:rsidRPr="009C2EF2">
        <w:rPr>
          <w:rFonts w:ascii="Times New Roman" w:hAnsi="Times New Roman"/>
          <w:i/>
          <w:color w:val="231F20"/>
          <w:sz w:val="24"/>
          <w:szCs w:val="24"/>
          <w:lang w:val="az-Latn-AZ"/>
        </w:rPr>
        <w:t>müəyyənləşdirilməlidir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72C8E">
      <w:pPr>
        <w:pStyle w:val="a3"/>
        <w:numPr>
          <w:ilvl w:val="2"/>
          <w:numId w:val="110"/>
        </w:numPr>
        <w:tabs>
          <w:tab w:val="left" w:pos="1418"/>
        </w:tabs>
        <w:kinsoku w:val="0"/>
        <w:overflowPunct w:val="0"/>
        <w:spacing w:line="250" w:lineRule="auto"/>
        <w:ind w:left="567"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BQS-ə uyğun olaraq hazırlanmalı və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bütün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məlumatların uyğunluğunu qiymətləndirməlidir: Kənarlaşmalar izah olunmalıdır, məsələn, qiymətləndirmənin BQS standartlarına və yerli vergi qanunvericiliyinə uyğun icra edilib-edilmədiyi </w:t>
      </w:r>
      <w:r w:rsidRPr="009C2EF2">
        <w:rPr>
          <w:rFonts w:ascii="Times New Roman" w:hAnsi="Times New Roman"/>
          <w:i/>
          <w:color w:val="231F20"/>
          <w:sz w:val="24"/>
          <w:szCs w:val="24"/>
          <w:lang w:val="az-Latn-AZ"/>
        </w:rPr>
        <w:t>müəyyənləşdirilməlidir</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BQS Çərçivəsi</w:t>
      </w:r>
      <w:r w:rsidRPr="009C2EF2">
        <w:rPr>
          <w:rFonts w:ascii="Times New Roman" w:hAnsi="Times New Roman"/>
          <w:color w:val="231F20"/>
          <w:sz w:val="24"/>
          <w:szCs w:val="24"/>
          <w:lang w:val="az-Latn-AZ"/>
        </w:rPr>
        <w:t xml:space="preserve"> standartının kənarlaşmalar ilə bağlı 60.1-60.4-cü bəndlərə baxın.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623CA1">
      <w:pPr>
        <w:pStyle w:val="a3"/>
        <w:numPr>
          <w:ilvl w:val="1"/>
          <w:numId w:val="110"/>
        </w:numPr>
        <w:tabs>
          <w:tab w:val="left" w:pos="681"/>
        </w:tabs>
        <w:kinsoku w:val="0"/>
        <w:overflowPunct w:val="0"/>
        <w:spacing w:line="250" w:lineRule="auto"/>
        <w:ind w:left="680" w:right="118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Mümkün olduğu təqdirdə, işin əhatə dairəsi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işə ba</w:t>
      </w:r>
      <w:r w:rsidR="007562F0" w:rsidRPr="009C2EF2">
        <w:rPr>
          <w:rFonts w:ascii="Times New Roman" w:hAnsi="Times New Roman"/>
          <w:color w:val="231F20"/>
          <w:sz w:val="24"/>
          <w:szCs w:val="24"/>
          <w:lang w:val="az-Latn-AZ"/>
        </w:rPr>
        <w:t>ş</w:t>
      </w:r>
      <w:r w:rsidRPr="009C2EF2">
        <w:rPr>
          <w:rFonts w:ascii="Times New Roman" w:hAnsi="Times New Roman"/>
          <w:color w:val="231F20"/>
          <w:sz w:val="24"/>
          <w:szCs w:val="24"/>
          <w:lang w:val="az-Latn-AZ"/>
        </w:rPr>
        <w:t xml:space="preserve">lamazdan öncə tərəflər arasında </w:t>
      </w:r>
      <w:r w:rsidRPr="009C2EF2">
        <w:rPr>
          <w:rFonts w:ascii="Times New Roman" w:hAnsi="Times New Roman"/>
          <w:i/>
          <w:color w:val="231F20"/>
          <w:spacing w:val="1"/>
          <w:sz w:val="24"/>
          <w:szCs w:val="24"/>
          <w:lang w:val="az-Latn-AZ"/>
        </w:rPr>
        <w:t>razılaşdırılmalıdır</w:t>
      </w:r>
      <w:r w:rsidRPr="009C2EF2">
        <w:rPr>
          <w:rFonts w:ascii="Times New Roman" w:hAnsi="Times New Roman"/>
          <w:color w:val="231F20"/>
          <w:sz w:val="24"/>
          <w:szCs w:val="24"/>
          <w:lang w:val="az-Latn-AZ"/>
        </w:rPr>
        <w:t xml:space="preserve">. Lakin müəyyən hallarda qiymətləndirmə işinin əhatə dairəsi işin əvvəlində aydın olmaya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Belə hallarda qiymətləndiricilər işin əhatə dairəsini </w:t>
      </w:r>
      <w:r w:rsidRPr="009C2EF2">
        <w:rPr>
          <w:rFonts w:ascii="Times New Roman" w:hAnsi="Times New Roman"/>
          <w:i/>
          <w:color w:val="231F20"/>
          <w:sz w:val="24"/>
          <w:szCs w:val="24"/>
          <w:lang w:val="az-Latn-AZ"/>
        </w:rPr>
        <w:t xml:space="preserve">müştərilər </w:t>
      </w:r>
      <w:r w:rsidRPr="009C2EF2">
        <w:rPr>
          <w:rFonts w:ascii="Times New Roman" w:hAnsi="Times New Roman"/>
          <w:color w:val="231F20"/>
          <w:sz w:val="24"/>
          <w:szCs w:val="24"/>
          <w:lang w:val="az-Latn-AZ"/>
        </w:rPr>
        <w:t xml:space="preserve">ilə </w:t>
      </w:r>
      <w:r w:rsidRPr="009C2EF2">
        <w:rPr>
          <w:rFonts w:ascii="Times New Roman" w:hAnsi="Times New Roman"/>
          <w:i/>
          <w:color w:val="231F20"/>
          <w:sz w:val="24"/>
          <w:szCs w:val="24"/>
          <w:lang w:val="az-Latn-AZ"/>
        </w:rPr>
        <w:t>razılaşdırmalıdırlar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62F0" w:rsidP="00C73947">
      <w:pPr>
        <w:pStyle w:val="a3"/>
        <w:numPr>
          <w:ilvl w:val="1"/>
          <w:numId w:val="110"/>
        </w:numPr>
        <w:tabs>
          <w:tab w:val="left" w:pos="681"/>
        </w:tabs>
        <w:kinsoku w:val="0"/>
        <w:overflowPunct w:val="0"/>
        <w:spacing w:line="250" w:lineRule="auto"/>
        <w:ind w:left="680" w:right="118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w:t>
      </w:r>
      <w:r w:rsidR="003C64E0" w:rsidRPr="009C2EF2">
        <w:rPr>
          <w:rFonts w:ascii="Times New Roman" w:hAnsi="Times New Roman"/>
          <w:color w:val="231F20"/>
          <w:sz w:val="24"/>
          <w:szCs w:val="24"/>
          <w:lang w:val="az-Latn-AZ"/>
        </w:rPr>
        <w:t xml:space="preserve">şin əhatə dairəsinin yazılı şəkildə müəyyənləşdirilməsi </w:t>
      </w:r>
      <w:r w:rsidR="003C64E0" w:rsidRPr="009C2EF2">
        <w:rPr>
          <w:rFonts w:ascii="Times New Roman" w:hAnsi="Times New Roman"/>
          <w:i/>
          <w:color w:val="231F20"/>
          <w:spacing w:val="-1"/>
          <w:sz w:val="24"/>
          <w:szCs w:val="24"/>
          <w:lang w:val="az-Latn-AZ"/>
        </w:rPr>
        <w:t>vacib</w:t>
      </w:r>
      <w:r w:rsidR="003C64E0" w:rsidRPr="009C2EF2">
        <w:rPr>
          <w:rFonts w:ascii="Times New Roman" w:hAnsi="Times New Roman"/>
          <w:color w:val="231F20"/>
          <w:sz w:val="24"/>
          <w:szCs w:val="24"/>
          <w:lang w:val="az-Latn-AZ"/>
        </w:rPr>
        <w:t xml:space="preserve"> deyil. Lakin, </w:t>
      </w:r>
      <w:r w:rsidR="003C64E0" w:rsidRPr="009C2EF2">
        <w:rPr>
          <w:rFonts w:ascii="Times New Roman" w:hAnsi="Times New Roman"/>
          <w:i/>
          <w:color w:val="231F20"/>
          <w:sz w:val="24"/>
          <w:szCs w:val="24"/>
          <w:lang w:val="az-Latn-AZ"/>
        </w:rPr>
        <w:t xml:space="preserve">qiymətləndiricilər </w:t>
      </w:r>
      <w:r w:rsidR="003C64E0" w:rsidRPr="009C2EF2">
        <w:rPr>
          <w:rFonts w:ascii="Times New Roman" w:hAnsi="Times New Roman"/>
          <w:color w:val="231F20"/>
          <w:sz w:val="24"/>
          <w:szCs w:val="24"/>
          <w:lang w:val="az-Latn-AZ"/>
        </w:rPr>
        <w:t xml:space="preserve">işin əhatə dairəsini </w:t>
      </w:r>
      <w:r w:rsidR="003C64E0" w:rsidRPr="009C2EF2">
        <w:rPr>
          <w:rFonts w:ascii="Times New Roman" w:hAnsi="Times New Roman"/>
          <w:i/>
          <w:color w:val="231F20"/>
          <w:sz w:val="24"/>
          <w:szCs w:val="24"/>
          <w:lang w:val="az-Latn-AZ"/>
        </w:rPr>
        <w:t xml:space="preserve">müştərilərlə </w:t>
      </w:r>
      <w:r w:rsidR="003C64E0" w:rsidRPr="009C2EF2">
        <w:rPr>
          <w:rFonts w:ascii="Times New Roman" w:hAnsi="Times New Roman"/>
          <w:color w:val="231F20"/>
          <w:sz w:val="24"/>
          <w:szCs w:val="24"/>
          <w:lang w:val="az-Latn-AZ"/>
        </w:rPr>
        <w:t xml:space="preserve">razılaşdırmalı olduğu təqdirdə işin əhatə dairəsi yazılı şəkildə </w:t>
      </w:r>
      <w:r w:rsidR="003C64E0" w:rsidRPr="009C2EF2">
        <w:rPr>
          <w:rFonts w:ascii="Times New Roman" w:hAnsi="Times New Roman"/>
          <w:i/>
          <w:color w:val="231F20"/>
          <w:spacing w:val="1"/>
          <w:sz w:val="24"/>
          <w:szCs w:val="24"/>
          <w:lang w:val="az-Latn-AZ"/>
        </w:rPr>
        <w:t>müəyyənləşdirilməlidir</w:t>
      </w:r>
      <w:r w:rsidR="003C64E0" w:rsidRPr="009C2EF2">
        <w:rPr>
          <w:rFonts w:ascii="Times New Roman" w:hAnsi="Times New Roman"/>
          <w:color w:val="231F20"/>
          <w:sz w:val="24"/>
          <w:szCs w:val="24"/>
          <w:lang w:val="az-Latn-AZ"/>
        </w:rPr>
        <w:t>.</w:t>
      </w:r>
    </w:p>
    <w:p w:rsidR="00D02DD9" w:rsidRPr="009C2EF2" w:rsidRDefault="00D02DD9" w:rsidP="00C73947">
      <w:pPr>
        <w:pStyle w:val="a3"/>
        <w:kinsoku w:val="0"/>
        <w:overflowPunct w:val="0"/>
        <w:spacing w:before="9"/>
        <w:ind w:left="0"/>
        <w:jc w:val="both"/>
        <w:rPr>
          <w:rFonts w:ascii="Times New Roman" w:hAnsi="Times New Roman"/>
          <w:sz w:val="24"/>
          <w:szCs w:val="24"/>
          <w:lang w:val="az-Latn-AZ"/>
        </w:rPr>
      </w:pPr>
    </w:p>
    <w:p w:rsidR="00D02DD9" w:rsidRPr="009C2EF2" w:rsidRDefault="003C64E0" w:rsidP="00C73947">
      <w:pPr>
        <w:pStyle w:val="a3"/>
        <w:numPr>
          <w:ilvl w:val="1"/>
          <w:numId w:val="110"/>
        </w:numPr>
        <w:tabs>
          <w:tab w:val="left" w:pos="681"/>
        </w:tabs>
        <w:kinsoku w:val="0"/>
        <w:overflowPunct w:val="0"/>
        <w:spacing w:line="250" w:lineRule="auto"/>
        <w:ind w:left="680" w:right="124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İşin əh</w:t>
      </w:r>
      <w:r w:rsidR="007562F0" w:rsidRPr="009C2EF2">
        <w:rPr>
          <w:rFonts w:ascii="Times New Roman" w:hAnsi="Times New Roman"/>
          <w:color w:val="231F20"/>
          <w:sz w:val="24"/>
          <w:szCs w:val="24"/>
          <w:lang w:val="az-Latn-AZ"/>
        </w:rPr>
        <w:t>atə dairəsinin bəzi aspektləri u</w:t>
      </w:r>
      <w:r w:rsidRPr="009C2EF2">
        <w:rPr>
          <w:rFonts w:ascii="Times New Roman" w:hAnsi="Times New Roman"/>
          <w:color w:val="231F20"/>
          <w:sz w:val="24"/>
          <w:szCs w:val="24"/>
          <w:lang w:val="az-Latn-AZ"/>
        </w:rPr>
        <w:t xml:space="preserve">zunmüddətli tapşırıq təlimatları, xidmətlərin göstərilməsi müqavilələri və ya şirkətin daxili siyasət və proseduraları kimi sənədlərdə əhatə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E60AEE">
      <w:pPr>
        <w:pStyle w:val="Heading41"/>
        <w:numPr>
          <w:ilvl w:val="0"/>
          <w:numId w:val="109"/>
        </w:numPr>
        <w:tabs>
          <w:tab w:val="left" w:pos="681"/>
        </w:tabs>
        <w:kinsoku w:val="0"/>
        <w:overflowPunct w:val="0"/>
        <w:outlineLvl w:val="9"/>
        <w:rPr>
          <w:rFonts w:ascii="Times New Roman" w:hAnsi="Times New Roman"/>
          <w:b w:val="0"/>
          <w:color w:val="000000"/>
          <w:sz w:val="24"/>
          <w:szCs w:val="24"/>
          <w:lang w:val="az-Latn-AZ"/>
        </w:rPr>
      </w:pPr>
      <w:r>
        <w:rPr>
          <w:rFonts w:ascii="Times New Roman" w:hAnsi="Times New Roman"/>
          <w:color w:val="231F20"/>
          <w:spacing w:val="1"/>
          <w:sz w:val="24"/>
          <w:szCs w:val="24"/>
          <w:lang w:val="az-Latn-AZ"/>
        </w:rPr>
        <w:t>Qiymətləndirmə Tapşırığına Dəyişikliklərin Edilməsi</w:t>
      </w:r>
    </w:p>
    <w:p w:rsidR="00D02DD9" w:rsidRPr="009C2EF2" w:rsidRDefault="003C64E0" w:rsidP="00A72C8E">
      <w:pPr>
        <w:pStyle w:val="a3"/>
        <w:numPr>
          <w:ilvl w:val="1"/>
          <w:numId w:val="109"/>
        </w:numPr>
        <w:tabs>
          <w:tab w:val="left" w:pos="681"/>
        </w:tabs>
        <w:kinsoku w:val="0"/>
        <w:overflowPunct w:val="0"/>
        <w:spacing w:before="122"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20.3 bəndində verilmiş bəzi məlumatlar qiymətləndirmə tapşırığı icra edilməyənədək müəyyən edilə </w:t>
      </w:r>
      <w:r w:rsidRPr="009C2EF2">
        <w:rPr>
          <w:rFonts w:ascii="Times New Roman" w:hAnsi="Times New Roman"/>
          <w:i/>
          <w:color w:val="231F20"/>
          <w:spacing w:val="-1"/>
          <w:sz w:val="24"/>
          <w:szCs w:val="24"/>
          <w:lang w:val="az-Latn-AZ"/>
        </w:rPr>
        <w:t>bilməz</w:t>
      </w:r>
      <w:r w:rsidRPr="009C2EF2">
        <w:rPr>
          <w:rFonts w:ascii="Times New Roman" w:hAnsi="Times New Roman"/>
          <w:color w:val="231F20"/>
          <w:sz w:val="24"/>
          <w:szCs w:val="24"/>
          <w:lang w:val="az-Latn-AZ"/>
        </w:rPr>
        <w:t xml:space="preserve">, o cümlədən əldə olunmuş yeni məlumatlar tapşırığın icrası zamanı işin əhatə dairəsinə dəyişikliklərin edilməsini tələb edə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Odur ki, işin əhatə dairəsinin qabaqcadan müəyyən edilə </w:t>
      </w:r>
      <w:r w:rsidRPr="009C2EF2">
        <w:rPr>
          <w:rFonts w:ascii="Times New Roman" w:hAnsi="Times New Roman"/>
          <w:i/>
          <w:color w:val="231F20"/>
          <w:spacing w:val="-1"/>
          <w:sz w:val="24"/>
          <w:szCs w:val="24"/>
          <w:lang w:val="az-Latn-AZ"/>
        </w:rPr>
        <w:t xml:space="preserve">bilməsinə </w:t>
      </w:r>
      <w:r w:rsidRPr="009C2EF2">
        <w:rPr>
          <w:rFonts w:ascii="Times New Roman" w:hAnsi="Times New Roman"/>
          <w:color w:val="231F20"/>
          <w:sz w:val="24"/>
          <w:szCs w:val="24"/>
          <w:lang w:val="az-Latn-AZ"/>
        </w:rPr>
        <w:t xml:space="preserve">baxmayaraq, tapşırığın icrası zamanı əhatə dairəsi üzərində bir neçə dəfə dəyişiklik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62F0" w:rsidP="00A72C8E">
      <w:pPr>
        <w:pStyle w:val="a3"/>
        <w:numPr>
          <w:ilvl w:val="1"/>
          <w:numId w:val="109"/>
        </w:numPr>
        <w:tabs>
          <w:tab w:val="left" w:pos="681"/>
          <w:tab w:val="left" w:pos="5954"/>
        </w:tabs>
        <w:kinsoku w:val="0"/>
        <w:overflowPunct w:val="0"/>
        <w:spacing w:line="250" w:lineRule="auto"/>
        <w:ind w:left="680" w:right="10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Əhatə dairəsi dəfə</w:t>
      </w:r>
      <w:r w:rsidR="003C64E0" w:rsidRPr="009C2EF2">
        <w:rPr>
          <w:rFonts w:ascii="Times New Roman" w:hAnsi="Times New Roman"/>
          <w:color w:val="231F20"/>
          <w:sz w:val="24"/>
          <w:szCs w:val="24"/>
          <w:lang w:val="az-Latn-AZ"/>
        </w:rPr>
        <w:t xml:space="preserve">lərlə dəyişdirilən qiymətləndirmə tapşırıqlarında 20.3-cü bənddə verilmiş maddələr və ya edilmiş dəyişikliklər tapşırıq başa çatmazdan və qiymətləndirmə hesabatı təqdim olunmazdan öncə </w:t>
      </w:r>
      <w:r w:rsidR="003C64E0" w:rsidRPr="009C2EF2">
        <w:rPr>
          <w:rFonts w:ascii="Times New Roman" w:hAnsi="Times New Roman"/>
          <w:i/>
          <w:color w:val="231F20"/>
          <w:sz w:val="24"/>
          <w:szCs w:val="24"/>
          <w:lang w:val="az-Latn-AZ"/>
        </w:rPr>
        <w:t xml:space="preserve">müştəri </w:t>
      </w:r>
      <w:r w:rsidR="003C64E0" w:rsidRPr="009C2EF2">
        <w:rPr>
          <w:rFonts w:ascii="Times New Roman" w:hAnsi="Times New Roman"/>
          <w:color w:val="231F20"/>
          <w:sz w:val="24"/>
          <w:szCs w:val="24"/>
          <w:lang w:val="az-Latn-AZ"/>
        </w:rPr>
        <w:t xml:space="preserve">ilə müzakirə </w:t>
      </w:r>
      <w:r w:rsidR="003C64E0" w:rsidRPr="009C2EF2">
        <w:rPr>
          <w:rFonts w:ascii="Times New Roman" w:hAnsi="Times New Roman"/>
          <w:i/>
          <w:color w:val="231F20"/>
          <w:sz w:val="24"/>
          <w:szCs w:val="24"/>
          <w:lang w:val="az-Latn-AZ"/>
        </w:rPr>
        <w:t>olunmalıdır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E60AEE" w:rsidRPr="009C2EF2" w:rsidRDefault="00E60AEE" w:rsidP="00E60AEE">
      <w:pPr>
        <w:pStyle w:val="Heading21"/>
        <w:kinsoku w:val="0"/>
        <w:overflowPunct w:val="0"/>
        <w:ind w:left="963"/>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102 Araşdırmalar və Uyğunluq</w:t>
      </w:r>
    </w:p>
    <w:p w:rsidR="00E60AEE" w:rsidRPr="009C2EF2" w:rsidRDefault="00E60AEE" w:rsidP="00E60AEE">
      <w:pPr>
        <w:pStyle w:val="a3"/>
        <w:kinsoku w:val="0"/>
        <w:overflowPunct w:val="0"/>
        <w:spacing w:before="3"/>
        <w:ind w:left="0"/>
        <w:rPr>
          <w:rFonts w:ascii="Times New Roman" w:hAnsi="Times New Roman"/>
          <w:b/>
          <w:sz w:val="24"/>
          <w:szCs w:val="24"/>
          <w:lang w:val="az-Latn-AZ"/>
        </w:rPr>
      </w:pPr>
    </w:p>
    <w:tbl>
      <w:tblPr>
        <w:tblW w:w="0" w:type="auto"/>
        <w:tblInd w:w="964" w:type="dxa"/>
        <w:tblLayout w:type="fixed"/>
        <w:tblCellMar>
          <w:left w:w="0" w:type="dxa"/>
          <w:right w:w="0" w:type="dxa"/>
        </w:tblCellMar>
        <w:tblLook w:val="04A0" w:firstRow="1" w:lastRow="0" w:firstColumn="1" w:lastColumn="0" w:noHBand="0" w:noVBand="1"/>
      </w:tblPr>
      <w:tblGrid>
        <w:gridCol w:w="4233"/>
        <w:gridCol w:w="2174"/>
      </w:tblGrid>
      <w:tr w:rsidR="00E60AEE" w:rsidRPr="009C2EF2" w:rsidTr="00E60AEE">
        <w:trPr>
          <w:trHeight w:hRule="exact" w:val="597"/>
        </w:trPr>
        <w:tc>
          <w:tcPr>
            <w:tcW w:w="4233"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10"/>
              <w:rPr>
                <w:b/>
                <w:sz w:val="24"/>
                <w:szCs w:val="24"/>
                <w:lang w:val="az-Latn-AZ"/>
              </w:rPr>
            </w:pPr>
          </w:p>
          <w:p w:rsidR="00E60AEE" w:rsidRPr="009C2EF2" w:rsidRDefault="00E60AEE" w:rsidP="00220C36">
            <w:pPr>
              <w:pStyle w:val="TableParagraph"/>
              <w:kinsoku w:val="0"/>
              <w:overflowPunct w:val="0"/>
              <w:ind w:left="283"/>
              <w:rPr>
                <w:sz w:val="24"/>
                <w:szCs w:val="24"/>
                <w:lang w:val="az-Latn-AZ"/>
              </w:rPr>
            </w:pPr>
            <w:r w:rsidRPr="009C2EF2">
              <w:rPr>
                <w:b/>
                <w:color w:val="231F20"/>
                <w:spacing w:val="1"/>
                <w:sz w:val="24"/>
                <w:szCs w:val="24"/>
                <w:lang w:val="az-Latn-AZ"/>
              </w:rPr>
              <w:t>Mündəricat</w:t>
            </w:r>
          </w:p>
        </w:tc>
        <w:tc>
          <w:tcPr>
            <w:tcW w:w="2174"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10"/>
              <w:rPr>
                <w:b/>
                <w:sz w:val="24"/>
                <w:szCs w:val="24"/>
                <w:lang w:val="az-Latn-AZ"/>
              </w:rPr>
            </w:pPr>
          </w:p>
          <w:p w:rsidR="00E60AEE" w:rsidRPr="009C2EF2" w:rsidRDefault="00E60AEE" w:rsidP="00220C36">
            <w:pPr>
              <w:pStyle w:val="TableParagraph"/>
              <w:kinsoku w:val="0"/>
              <w:overflowPunct w:val="0"/>
              <w:ind w:left="1219"/>
              <w:rPr>
                <w:sz w:val="24"/>
                <w:szCs w:val="24"/>
                <w:lang w:val="az-Latn-AZ"/>
              </w:rPr>
            </w:pPr>
            <w:r w:rsidRPr="009C2EF2">
              <w:rPr>
                <w:b/>
                <w:color w:val="231F20"/>
                <w:spacing w:val="1"/>
                <w:sz w:val="24"/>
                <w:szCs w:val="24"/>
                <w:lang w:val="az-Latn-AZ"/>
              </w:rPr>
              <w:t>Bəndlər</w:t>
            </w:r>
          </w:p>
        </w:tc>
      </w:tr>
      <w:tr w:rsidR="00E60AEE" w:rsidRPr="009C2EF2" w:rsidTr="00E60AEE">
        <w:trPr>
          <w:trHeight w:hRule="exact" w:val="301"/>
        </w:trPr>
        <w:tc>
          <w:tcPr>
            <w:tcW w:w="4233"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51"/>
              <w:ind w:left="283"/>
              <w:rPr>
                <w:sz w:val="24"/>
                <w:szCs w:val="24"/>
                <w:lang w:val="az-Latn-AZ"/>
              </w:rPr>
            </w:pPr>
            <w:r w:rsidRPr="009C2EF2">
              <w:rPr>
                <w:color w:val="231F20"/>
                <w:spacing w:val="1"/>
                <w:sz w:val="24"/>
                <w:szCs w:val="24"/>
                <w:lang w:val="az-Latn-AZ"/>
              </w:rPr>
              <w:t>Əsas Prinsip</w:t>
            </w:r>
          </w:p>
        </w:tc>
        <w:tc>
          <w:tcPr>
            <w:tcW w:w="2174"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51"/>
              <w:ind w:right="281"/>
              <w:jc w:val="right"/>
              <w:rPr>
                <w:sz w:val="24"/>
                <w:szCs w:val="24"/>
                <w:lang w:val="az-Latn-AZ"/>
              </w:rPr>
            </w:pPr>
            <w:r w:rsidRPr="009C2EF2">
              <w:rPr>
                <w:color w:val="231F20"/>
                <w:spacing w:val="-3"/>
                <w:w w:val="95"/>
                <w:sz w:val="24"/>
                <w:szCs w:val="24"/>
                <w:lang w:val="az-Latn-AZ"/>
              </w:rPr>
              <w:t>10</w:t>
            </w:r>
          </w:p>
        </w:tc>
      </w:tr>
      <w:tr w:rsidR="00E60AEE" w:rsidRPr="009C2EF2" w:rsidTr="00E60AEE">
        <w:trPr>
          <w:trHeight w:hRule="exact" w:val="273"/>
        </w:trPr>
        <w:tc>
          <w:tcPr>
            <w:tcW w:w="4233" w:type="dxa"/>
            <w:tcBorders>
              <w:top w:val="nil"/>
              <w:left w:val="nil"/>
              <w:bottom w:val="nil"/>
              <w:right w:val="nil"/>
            </w:tcBorders>
            <w:shd w:val="clear" w:color="auto" w:fill="E6E7E8"/>
          </w:tcPr>
          <w:p w:rsidR="00E60AEE" w:rsidRPr="009C2EF2" w:rsidRDefault="00871513" w:rsidP="00220C36">
            <w:pPr>
              <w:pStyle w:val="TableParagraph"/>
              <w:kinsoku w:val="0"/>
              <w:overflowPunct w:val="0"/>
              <w:spacing w:before="23"/>
              <w:ind w:left="283"/>
              <w:rPr>
                <w:sz w:val="24"/>
                <w:szCs w:val="24"/>
                <w:lang w:val="az-Latn-AZ"/>
              </w:rPr>
            </w:pPr>
            <w:r>
              <w:rPr>
                <w:color w:val="231F20"/>
                <w:sz w:val="24"/>
                <w:szCs w:val="24"/>
                <w:lang w:val="az-Latn-AZ"/>
              </w:rPr>
              <w:t xml:space="preserve">Aparılan </w:t>
            </w:r>
            <w:r w:rsidR="00E60AEE" w:rsidRPr="009C2EF2">
              <w:rPr>
                <w:color w:val="231F20"/>
                <w:sz w:val="24"/>
                <w:szCs w:val="24"/>
                <w:lang w:val="az-Latn-AZ"/>
              </w:rPr>
              <w:t>Araşdırmalar</w:t>
            </w:r>
          </w:p>
        </w:tc>
        <w:tc>
          <w:tcPr>
            <w:tcW w:w="2174"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23"/>
              <w:ind w:right="281"/>
              <w:jc w:val="right"/>
              <w:rPr>
                <w:sz w:val="24"/>
                <w:szCs w:val="24"/>
                <w:lang w:val="az-Latn-AZ"/>
              </w:rPr>
            </w:pPr>
            <w:r w:rsidRPr="009C2EF2">
              <w:rPr>
                <w:color w:val="231F20"/>
                <w:w w:val="95"/>
                <w:sz w:val="24"/>
                <w:szCs w:val="24"/>
                <w:lang w:val="az-Latn-AZ"/>
              </w:rPr>
              <w:t>20</w:t>
            </w:r>
          </w:p>
        </w:tc>
      </w:tr>
      <w:tr w:rsidR="00E60AEE" w:rsidRPr="009C2EF2" w:rsidTr="00E60AEE">
        <w:trPr>
          <w:trHeight w:hRule="exact" w:val="273"/>
        </w:trPr>
        <w:tc>
          <w:tcPr>
            <w:tcW w:w="4233" w:type="dxa"/>
            <w:tcBorders>
              <w:top w:val="nil"/>
              <w:left w:val="nil"/>
              <w:bottom w:val="nil"/>
              <w:right w:val="nil"/>
            </w:tcBorders>
            <w:shd w:val="clear" w:color="auto" w:fill="E6E7E8"/>
          </w:tcPr>
          <w:p w:rsidR="00E60AEE" w:rsidRPr="009C2EF2" w:rsidRDefault="00871513" w:rsidP="00871513">
            <w:pPr>
              <w:pStyle w:val="TableParagraph"/>
              <w:kinsoku w:val="0"/>
              <w:overflowPunct w:val="0"/>
              <w:spacing w:before="23"/>
              <w:ind w:left="283"/>
              <w:rPr>
                <w:sz w:val="24"/>
                <w:szCs w:val="24"/>
                <w:lang w:val="az-Latn-AZ"/>
              </w:rPr>
            </w:pPr>
            <w:r>
              <w:rPr>
                <w:color w:val="231F20"/>
                <w:spacing w:val="-1"/>
                <w:sz w:val="24"/>
                <w:szCs w:val="24"/>
                <w:lang w:val="az-Latn-AZ"/>
              </w:rPr>
              <w:t xml:space="preserve">Dəyərin </w:t>
            </w:r>
            <w:r w:rsidR="00E60AEE" w:rsidRPr="009C2EF2">
              <w:rPr>
                <w:color w:val="231F20"/>
                <w:spacing w:val="-1"/>
                <w:sz w:val="24"/>
                <w:szCs w:val="24"/>
                <w:lang w:val="az-Latn-AZ"/>
              </w:rPr>
              <w:t>Qiymətləndirmə</w:t>
            </w:r>
            <w:r>
              <w:rPr>
                <w:color w:val="231F20"/>
                <w:spacing w:val="-1"/>
                <w:sz w:val="24"/>
                <w:szCs w:val="24"/>
                <w:lang w:val="az-Latn-AZ"/>
              </w:rPr>
              <w:t>si</w:t>
            </w:r>
            <w:r w:rsidR="00E60AEE" w:rsidRPr="009C2EF2">
              <w:rPr>
                <w:color w:val="231F20"/>
                <w:spacing w:val="-1"/>
                <w:sz w:val="24"/>
                <w:szCs w:val="24"/>
                <w:lang w:val="az-Latn-AZ"/>
              </w:rPr>
              <w:t xml:space="preserve"> </w:t>
            </w:r>
            <w:r>
              <w:rPr>
                <w:color w:val="231F20"/>
                <w:spacing w:val="-1"/>
                <w:sz w:val="24"/>
                <w:szCs w:val="24"/>
                <w:lang w:val="az-Latn-AZ"/>
              </w:rPr>
              <w:t>Materialları</w:t>
            </w:r>
          </w:p>
        </w:tc>
        <w:tc>
          <w:tcPr>
            <w:tcW w:w="2174"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E60AEE" w:rsidRPr="009C2EF2" w:rsidTr="00E60AEE">
        <w:trPr>
          <w:trHeight w:hRule="exact" w:val="440"/>
        </w:trPr>
        <w:tc>
          <w:tcPr>
            <w:tcW w:w="4233" w:type="dxa"/>
            <w:tcBorders>
              <w:top w:val="nil"/>
              <w:left w:val="nil"/>
              <w:bottom w:val="nil"/>
              <w:right w:val="nil"/>
            </w:tcBorders>
            <w:shd w:val="clear" w:color="auto" w:fill="E6E7E8"/>
          </w:tcPr>
          <w:p w:rsidR="00E60AEE" w:rsidRPr="009C2EF2" w:rsidRDefault="00871513" w:rsidP="00220C36">
            <w:pPr>
              <w:pStyle w:val="TableParagraph"/>
              <w:kinsoku w:val="0"/>
              <w:overflowPunct w:val="0"/>
              <w:spacing w:before="23"/>
              <w:ind w:left="283"/>
              <w:rPr>
                <w:sz w:val="24"/>
                <w:szCs w:val="24"/>
                <w:lang w:val="az-Latn-AZ"/>
              </w:rPr>
            </w:pPr>
            <w:r>
              <w:rPr>
                <w:color w:val="231F20"/>
                <w:spacing w:val="1"/>
                <w:sz w:val="24"/>
                <w:szCs w:val="24"/>
                <w:lang w:val="az-Latn-AZ"/>
              </w:rPr>
              <w:t>Digər Standartlar</w:t>
            </w:r>
            <w:bookmarkStart w:id="4" w:name="_GoBack"/>
            <w:bookmarkEnd w:id="4"/>
            <w:r w:rsidR="00E60AEE" w:rsidRPr="009C2EF2">
              <w:rPr>
                <w:color w:val="231F20"/>
                <w:spacing w:val="1"/>
                <w:sz w:val="24"/>
                <w:szCs w:val="24"/>
                <w:lang w:val="az-Latn-AZ"/>
              </w:rPr>
              <w:t>a Uyğunluq</w:t>
            </w:r>
          </w:p>
        </w:tc>
        <w:tc>
          <w:tcPr>
            <w:tcW w:w="2174" w:type="dxa"/>
            <w:tcBorders>
              <w:top w:val="nil"/>
              <w:left w:val="nil"/>
              <w:bottom w:val="nil"/>
              <w:right w:val="nil"/>
            </w:tcBorders>
            <w:shd w:val="clear" w:color="auto" w:fill="E6E7E8"/>
          </w:tcPr>
          <w:p w:rsidR="00E60AEE" w:rsidRPr="009C2EF2" w:rsidRDefault="00E60AEE" w:rsidP="00220C36">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bl>
    <w:p w:rsidR="00E60AEE" w:rsidRPr="009C2EF2" w:rsidRDefault="00E60AEE" w:rsidP="00E60AEE">
      <w:pPr>
        <w:pStyle w:val="a3"/>
        <w:kinsoku w:val="0"/>
        <w:overflowPunct w:val="0"/>
        <w:spacing w:before="4"/>
        <w:ind w:left="0"/>
        <w:rPr>
          <w:rFonts w:ascii="Times New Roman" w:hAnsi="Times New Roman"/>
          <w:b/>
          <w:sz w:val="24"/>
          <w:szCs w:val="24"/>
          <w:lang w:val="az-Latn-AZ"/>
        </w:rPr>
      </w:pPr>
    </w:p>
    <w:p w:rsidR="00E60AEE" w:rsidRPr="009C2EF2" w:rsidRDefault="00E60AEE" w:rsidP="00E60AEE">
      <w:pPr>
        <w:pStyle w:val="Heading41"/>
        <w:numPr>
          <w:ilvl w:val="0"/>
          <w:numId w:val="108"/>
        </w:numPr>
        <w:tabs>
          <w:tab w:val="left" w:pos="1531"/>
        </w:tabs>
        <w:kinsoku w:val="0"/>
        <w:overflowPunct w:val="0"/>
        <w:spacing w:before="77"/>
        <w:ind w:left="1530"/>
        <w:jc w:val="both"/>
        <w:outlineLvl w:val="9"/>
        <w:rPr>
          <w:rFonts w:ascii="Times New Roman" w:hAnsi="Times New Roman"/>
          <w:b w:val="0"/>
          <w:color w:val="000000"/>
          <w:sz w:val="24"/>
          <w:szCs w:val="24"/>
          <w:lang w:val="az-Latn-AZ"/>
        </w:rPr>
      </w:pPr>
      <w:r>
        <w:rPr>
          <w:rFonts w:ascii="Times New Roman" w:hAnsi="Times New Roman"/>
          <w:color w:val="231F20"/>
          <w:spacing w:val="1"/>
          <w:sz w:val="24"/>
          <w:szCs w:val="24"/>
          <w:lang w:val="az-Latn-AZ"/>
        </w:rPr>
        <w:t>Ümumi</w:t>
      </w:r>
      <w:r w:rsidRPr="009C2EF2">
        <w:rPr>
          <w:rFonts w:ascii="Times New Roman" w:hAnsi="Times New Roman"/>
          <w:color w:val="231F20"/>
          <w:spacing w:val="1"/>
          <w:sz w:val="24"/>
          <w:szCs w:val="24"/>
          <w:lang w:val="az-Latn-AZ"/>
        </w:rPr>
        <w:t xml:space="preserve"> Prinsip</w:t>
      </w:r>
    </w:p>
    <w:p w:rsidR="00E60AEE" w:rsidRPr="009C2EF2" w:rsidRDefault="00E60AEE" w:rsidP="00E60AEE">
      <w:pPr>
        <w:pStyle w:val="a3"/>
        <w:numPr>
          <w:ilvl w:val="1"/>
          <w:numId w:val="108"/>
        </w:numPr>
        <w:tabs>
          <w:tab w:val="left" w:pos="1531"/>
        </w:tabs>
        <w:kinsoku w:val="0"/>
        <w:overflowPunct w:val="0"/>
        <w:spacing w:before="122" w:line="250" w:lineRule="auto"/>
        <w:ind w:right="1235"/>
        <w:jc w:val="both"/>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BQS ilə uyğunluğun təmin olunması məqsədi ilə qiymətləndirmə tapşırıqları, o cümlədən qiymətləndirmə xülasələri işin əhatə dairəsinin </w:t>
      </w:r>
      <w:r w:rsidRPr="009C2EF2">
        <w:rPr>
          <w:rFonts w:ascii="Times New Roman" w:hAnsi="Times New Roman"/>
          <w:i/>
          <w:color w:val="231F20"/>
          <w:spacing w:val="1"/>
          <w:sz w:val="24"/>
          <w:szCs w:val="24"/>
          <w:lang w:val="az-Latn-AZ"/>
        </w:rPr>
        <w:t xml:space="preserve">məqsəd </w:t>
      </w:r>
      <w:r w:rsidRPr="009C2EF2">
        <w:rPr>
          <w:rFonts w:ascii="Times New Roman" w:hAnsi="Times New Roman"/>
          <w:color w:val="231F20"/>
          <w:spacing w:val="-8"/>
          <w:sz w:val="24"/>
          <w:szCs w:val="24"/>
          <w:lang w:val="az-Latn-AZ"/>
        </w:rPr>
        <w:t xml:space="preserve">və şərtləri əsasında müəyyən edilmiş prinsiplərə uyğun şəkildə icra </w:t>
      </w:r>
      <w:r w:rsidRPr="009C2EF2">
        <w:rPr>
          <w:rFonts w:ascii="Times New Roman" w:hAnsi="Times New Roman"/>
          <w:i/>
          <w:color w:val="231F20"/>
          <w:sz w:val="24"/>
          <w:szCs w:val="24"/>
          <w:lang w:val="az-Latn-AZ"/>
        </w:rPr>
        <w:t>edilməlidir</w:t>
      </w:r>
      <w:r w:rsidRPr="009C2EF2">
        <w:rPr>
          <w:rFonts w:ascii="Times New Roman" w:hAnsi="Times New Roman"/>
          <w:color w:val="231F20"/>
          <w:spacing w:val="-8"/>
          <w:sz w:val="24"/>
          <w:szCs w:val="24"/>
          <w:lang w:val="az-Latn-AZ"/>
        </w:rPr>
        <w:t>.</w:t>
      </w:r>
    </w:p>
    <w:p w:rsidR="00E60AEE" w:rsidRPr="009C2EF2" w:rsidRDefault="00E60AEE" w:rsidP="00E60AEE">
      <w:pPr>
        <w:pStyle w:val="a3"/>
        <w:kinsoku w:val="0"/>
        <w:overflowPunct w:val="0"/>
        <w:spacing w:before="9"/>
        <w:ind w:left="0"/>
        <w:jc w:val="both"/>
        <w:rPr>
          <w:rFonts w:ascii="Times New Roman" w:hAnsi="Times New Roman"/>
          <w:sz w:val="24"/>
          <w:szCs w:val="24"/>
          <w:lang w:val="az-Latn-AZ"/>
        </w:rPr>
      </w:pPr>
    </w:p>
    <w:p w:rsidR="00E60AEE" w:rsidRPr="009C2EF2" w:rsidRDefault="00E60AEE" w:rsidP="00E60AEE">
      <w:pPr>
        <w:pStyle w:val="Heading41"/>
        <w:numPr>
          <w:ilvl w:val="0"/>
          <w:numId w:val="107"/>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Araşdırmalar</w:t>
      </w:r>
    </w:p>
    <w:p w:rsidR="00E60AEE" w:rsidRPr="009C2EF2" w:rsidRDefault="00E60AEE" w:rsidP="00E60AEE">
      <w:pPr>
        <w:pStyle w:val="a3"/>
        <w:numPr>
          <w:ilvl w:val="1"/>
          <w:numId w:val="107"/>
        </w:numPr>
        <w:tabs>
          <w:tab w:val="left" w:pos="1531"/>
        </w:tabs>
        <w:kinsoku w:val="0"/>
        <w:overflowPunct w:val="0"/>
        <w:spacing w:before="122"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tapşırığının icrası ilə bağlı aparılmış araşdırmalar </w:t>
      </w:r>
      <w:r w:rsidRPr="009C2EF2">
        <w:rPr>
          <w:rFonts w:ascii="Times New Roman" w:hAnsi="Times New Roman"/>
          <w:i/>
          <w:color w:val="231F20"/>
          <w:spacing w:val="1"/>
          <w:sz w:val="24"/>
          <w:szCs w:val="24"/>
          <w:lang w:val="az-Latn-AZ"/>
        </w:rPr>
        <w:t>qiymətləndirmə tapşırığının məqsədinə</w:t>
      </w:r>
      <w:r w:rsidRPr="009C2EF2">
        <w:rPr>
          <w:rFonts w:ascii="Times New Roman" w:hAnsi="Times New Roman"/>
          <w:color w:val="231F20"/>
          <w:sz w:val="24"/>
          <w:szCs w:val="24"/>
          <w:lang w:val="az-Latn-AZ"/>
        </w:rPr>
        <w:t xml:space="preserve"> və dəyər bazasına/bazalarına uyğun </w:t>
      </w:r>
      <w:r w:rsidRPr="009C2EF2">
        <w:rPr>
          <w:rFonts w:ascii="Times New Roman" w:hAnsi="Times New Roman"/>
          <w:i/>
          <w:color w:val="231F20"/>
          <w:sz w:val="24"/>
          <w:szCs w:val="24"/>
          <w:lang w:val="az-Latn-AZ"/>
        </w:rPr>
        <w:t>olmalıdır</w:t>
      </w:r>
      <w:r w:rsidRPr="009C2EF2">
        <w:rPr>
          <w:rFonts w:ascii="Times New Roman" w:hAnsi="Times New Roman"/>
          <w:color w:val="231F20"/>
          <w:sz w:val="24"/>
          <w:szCs w:val="24"/>
          <w:lang w:val="az-Latn-AZ"/>
        </w:rPr>
        <w:t>. Bu standarta əsasən qiymətləndirmə və ya qiymətləndirmə tapşırığı ilə bağlı məlumatlara qiymətləndirmə xülasəsi də daxildir.</w:t>
      </w:r>
    </w:p>
    <w:p w:rsidR="00E60AEE" w:rsidRPr="009C2EF2" w:rsidRDefault="00E60AEE" w:rsidP="00E60AEE">
      <w:pPr>
        <w:pStyle w:val="a3"/>
        <w:kinsoku w:val="0"/>
        <w:overflowPunct w:val="0"/>
        <w:spacing w:before="9"/>
        <w:ind w:left="0"/>
        <w:jc w:val="both"/>
        <w:rPr>
          <w:rFonts w:ascii="Times New Roman" w:hAnsi="Times New Roman"/>
          <w:sz w:val="24"/>
          <w:szCs w:val="24"/>
          <w:lang w:val="az-Latn-AZ"/>
        </w:rPr>
      </w:pPr>
    </w:p>
    <w:p w:rsidR="00E60AEE" w:rsidRPr="009C2EF2" w:rsidRDefault="00E60AEE" w:rsidP="00E60AEE">
      <w:pPr>
        <w:pStyle w:val="a3"/>
        <w:numPr>
          <w:ilvl w:val="1"/>
          <w:numId w:val="107"/>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Qiymətləndirmənin düzgün şəkildə aparıldığından əmin olmaq üçün yoxlamalar, araşdırmalar, hesablamalar və təhlillər aparılmalı, lazımi dəlillər </w:t>
      </w:r>
      <w:r w:rsidRPr="009C2EF2">
        <w:rPr>
          <w:rFonts w:ascii="Times New Roman" w:hAnsi="Times New Roman"/>
          <w:i/>
          <w:color w:val="231F20"/>
          <w:sz w:val="24"/>
          <w:szCs w:val="24"/>
          <w:lang w:val="az-Latn-AZ"/>
        </w:rPr>
        <w:t>toplanılmalıdır</w:t>
      </w:r>
      <w:r w:rsidRPr="009C2EF2">
        <w:rPr>
          <w:rFonts w:ascii="Times New Roman" w:hAnsi="Times New Roman"/>
          <w:color w:val="231F20"/>
          <w:spacing w:val="1"/>
          <w:sz w:val="24"/>
          <w:szCs w:val="24"/>
          <w:lang w:val="az-Latn-AZ"/>
        </w:rPr>
        <w:t xml:space="preserve">. Dəlilləri qiymətləndirərkən əldə olunacaq məlumatın </w:t>
      </w:r>
      <w:r w:rsidRPr="009C2EF2">
        <w:rPr>
          <w:rFonts w:ascii="Times New Roman" w:hAnsi="Times New Roman"/>
          <w:i/>
          <w:color w:val="231F20"/>
          <w:spacing w:val="1"/>
          <w:sz w:val="24"/>
          <w:szCs w:val="24"/>
          <w:lang w:val="az-Latn-AZ"/>
        </w:rPr>
        <w:t>qiymətləndirmənin məqsədinə</w:t>
      </w:r>
      <w:r w:rsidRPr="009C2EF2">
        <w:rPr>
          <w:rFonts w:ascii="Times New Roman" w:hAnsi="Times New Roman"/>
          <w:color w:val="231F20"/>
          <w:spacing w:val="1"/>
          <w:sz w:val="24"/>
          <w:szCs w:val="24"/>
          <w:lang w:val="az-Latn-AZ"/>
        </w:rPr>
        <w:t xml:space="preserve"> uyğun gəlib-gəlmədiyini müəyyənləşdirmək məqsədi ilə peşəkar mühakimə yürüdülməlidir.</w:t>
      </w:r>
    </w:p>
    <w:p w:rsidR="00E60AEE" w:rsidRPr="009C2EF2" w:rsidRDefault="00E60AEE" w:rsidP="00E60AEE">
      <w:pPr>
        <w:pStyle w:val="a3"/>
        <w:kinsoku w:val="0"/>
        <w:overflowPunct w:val="0"/>
        <w:spacing w:before="9"/>
        <w:ind w:left="0"/>
        <w:jc w:val="both"/>
        <w:rPr>
          <w:rFonts w:ascii="Times New Roman" w:hAnsi="Times New Roman"/>
          <w:sz w:val="24"/>
          <w:szCs w:val="24"/>
          <w:lang w:val="az-Latn-AZ"/>
        </w:rPr>
      </w:pPr>
    </w:p>
    <w:p w:rsidR="00E60AEE" w:rsidRPr="009C2EF2" w:rsidRDefault="00E60AEE" w:rsidP="00E60AEE">
      <w:pPr>
        <w:pStyle w:val="a3"/>
        <w:numPr>
          <w:ilvl w:val="1"/>
          <w:numId w:val="107"/>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Məhdudiyyətlər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tərəfindən aparılmış araşdırmalar əsasında razılaşdırıla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Belə məhdudiyyətlər işin əhatə dairəsində qeyd </w:t>
      </w:r>
      <w:r w:rsidRPr="009C2EF2">
        <w:rPr>
          <w:rFonts w:ascii="Times New Roman" w:hAnsi="Times New Roman"/>
          <w:i/>
          <w:color w:val="231F20"/>
          <w:sz w:val="24"/>
          <w:szCs w:val="24"/>
          <w:lang w:val="az-Latn-AZ"/>
        </w:rPr>
        <w:t>olunmalıdır</w:t>
      </w:r>
      <w:r w:rsidRPr="009C2EF2">
        <w:rPr>
          <w:rFonts w:ascii="Times New Roman" w:hAnsi="Times New Roman"/>
          <w:color w:val="231F20"/>
          <w:sz w:val="24"/>
          <w:szCs w:val="24"/>
          <w:lang w:val="az-Latn-AZ"/>
        </w:rPr>
        <w:t xml:space="preserve">. Lakin,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 xml:space="preserve">standartının 10.7 bəndinə əsasən </w:t>
      </w:r>
      <w:r w:rsidRPr="009C2EF2">
        <w:rPr>
          <w:rFonts w:ascii="Times New Roman" w:hAnsi="Times New Roman"/>
          <w:i/>
          <w:color w:val="231F20"/>
          <w:sz w:val="24"/>
          <w:szCs w:val="24"/>
          <w:lang w:val="az-Latn-AZ"/>
        </w:rPr>
        <w:t xml:space="preserve">qiymətləndiricilərdən </w:t>
      </w:r>
      <w:r w:rsidRPr="009C2EF2">
        <w:rPr>
          <w:rFonts w:ascii="Times New Roman" w:hAnsi="Times New Roman"/>
          <w:color w:val="231F20"/>
          <w:sz w:val="24"/>
          <w:szCs w:val="24"/>
          <w:lang w:val="az-Latn-AZ"/>
        </w:rPr>
        <w:t xml:space="preserve">ilkin məlumatların və ehtimalların, eləcə də, onların </w:t>
      </w:r>
      <w:r w:rsidRPr="009C2EF2">
        <w:rPr>
          <w:rFonts w:ascii="Times New Roman" w:hAnsi="Times New Roman"/>
          <w:i/>
          <w:color w:val="231F20"/>
          <w:sz w:val="24"/>
          <w:szCs w:val="24"/>
          <w:lang w:val="az-Latn-AZ"/>
        </w:rPr>
        <w:t xml:space="preserve">qiymətləndirmə </w:t>
      </w:r>
      <w:r w:rsidRPr="009C2EF2">
        <w:rPr>
          <w:rFonts w:ascii="Times New Roman" w:hAnsi="Times New Roman"/>
          <w:i/>
          <w:color w:val="231F20"/>
          <w:sz w:val="24"/>
          <w:szCs w:val="24"/>
          <w:lang w:val="az-Latn-AZ"/>
        </w:rPr>
        <w:lastRenderedPageBreak/>
        <w:t>məqsədi</w:t>
      </w:r>
      <w:r w:rsidRPr="009C2EF2">
        <w:rPr>
          <w:rFonts w:ascii="Times New Roman" w:hAnsi="Times New Roman"/>
          <w:color w:val="231F20"/>
          <w:sz w:val="24"/>
          <w:szCs w:val="24"/>
          <w:lang w:val="az-Latn-AZ"/>
        </w:rPr>
        <w:t xml:space="preserve"> ilə uyğunluğunun qiymətləndirilməsi üçün müvafiq təhlillərin aparılması tələb olunur. Araşdırmalar üzrə məhdudiyyətlər ilkin məlumatların və ehtimalların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tərəfindən qiymətləndirilməsinə mane olacaq dərəcədə böyük olarsa, qiymətləndirmə işi onun BQS-ə uyğun şəkildə icra edildiyini </w:t>
      </w:r>
      <w:r w:rsidRPr="009C2EF2">
        <w:rPr>
          <w:rFonts w:ascii="Times New Roman" w:hAnsi="Times New Roman"/>
          <w:i/>
          <w:color w:val="231F20"/>
          <w:sz w:val="24"/>
          <w:szCs w:val="24"/>
          <w:lang w:val="az-Latn-AZ"/>
        </w:rPr>
        <w:t>göstərməməlidir</w:t>
      </w:r>
      <w:r w:rsidRPr="009C2EF2">
        <w:rPr>
          <w:rFonts w:ascii="Times New Roman" w:hAnsi="Times New Roman"/>
          <w:color w:val="231F20"/>
          <w:sz w:val="24"/>
          <w:szCs w:val="24"/>
          <w:lang w:val="az-Latn-AZ"/>
        </w:rPr>
        <w:t>.</w:t>
      </w:r>
    </w:p>
    <w:p w:rsidR="00D02DD9" w:rsidRPr="009C2EF2" w:rsidRDefault="00D02DD9" w:rsidP="00E60AEE">
      <w:pPr>
        <w:pStyle w:val="a3"/>
        <w:kinsoku w:val="0"/>
        <w:overflowPunct w:val="0"/>
        <w:spacing w:before="80"/>
        <w:ind w:left="2776" w:right="3637"/>
        <w:jc w:val="center"/>
        <w:rPr>
          <w:rFonts w:ascii="Times New Roman" w:hAnsi="Times New Roman"/>
          <w:color w:val="000000"/>
          <w:sz w:val="24"/>
          <w:szCs w:val="24"/>
          <w:lang w:val="az-Latn-AZ"/>
        </w:rPr>
        <w:sectPr w:rsidR="00D02DD9" w:rsidRPr="009C2EF2">
          <w:footerReference w:type="default" r:id="rId17"/>
          <w:pgSz w:w="8850" w:h="13270"/>
          <w:pgMar w:top="0" w:right="0" w:bottom="0" w:left="1020" w:header="0" w:footer="0" w:gutter="0"/>
          <w:cols w:space="720" w:equalWidth="0">
            <w:col w:w="7830"/>
          </w:cols>
        </w:sectPr>
      </w:pPr>
    </w:p>
    <w:p w:rsidR="00D02DD9" w:rsidRPr="009C2EF2" w:rsidRDefault="00D02DD9">
      <w:pPr>
        <w:pStyle w:val="a3"/>
        <w:kinsoku w:val="0"/>
        <w:overflowPunct w:val="0"/>
        <w:spacing w:before="4"/>
        <w:ind w:left="0"/>
        <w:rPr>
          <w:rFonts w:ascii="Times New Roman" w:hAnsi="Times New Roman"/>
          <w:sz w:val="24"/>
          <w:szCs w:val="24"/>
          <w:lang w:val="az-Latn-AZ"/>
        </w:rPr>
      </w:pPr>
    </w:p>
    <w:p w:rsidR="00D02DD9" w:rsidRPr="009C2EF2" w:rsidRDefault="00D02DD9" w:rsidP="007562F0">
      <w:pPr>
        <w:pStyle w:val="a3"/>
        <w:kinsoku w:val="0"/>
        <w:overflowPunct w:val="0"/>
        <w:spacing w:before="9"/>
        <w:ind w:left="0"/>
        <w:jc w:val="both"/>
        <w:rPr>
          <w:rFonts w:ascii="Times New Roman" w:hAnsi="Times New Roman"/>
          <w:sz w:val="24"/>
          <w:szCs w:val="24"/>
          <w:lang w:val="az-Latn-AZ"/>
        </w:rPr>
      </w:pPr>
      <w:bookmarkStart w:id="5" w:name="bookmark4"/>
      <w:bookmarkEnd w:id="5"/>
    </w:p>
    <w:p w:rsidR="00D02DD9" w:rsidRPr="009C2EF2" w:rsidRDefault="003C64E0" w:rsidP="007562F0">
      <w:pPr>
        <w:pStyle w:val="a3"/>
        <w:numPr>
          <w:ilvl w:val="1"/>
          <w:numId w:val="107"/>
        </w:numPr>
        <w:tabs>
          <w:tab w:val="left" w:pos="1531"/>
        </w:tabs>
        <w:kinsoku w:val="0"/>
        <w:overflowPunct w:val="0"/>
        <w:spacing w:line="250" w:lineRule="auto"/>
        <w:ind w:right="13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tapşırığına </w:t>
      </w:r>
      <w:r w:rsidRPr="009C2EF2">
        <w:rPr>
          <w:rFonts w:ascii="Times New Roman" w:hAnsi="Times New Roman"/>
          <w:i/>
          <w:color w:val="231F20"/>
          <w:spacing w:val="-2"/>
          <w:sz w:val="24"/>
          <w:szCs w:val="24"/>
          <w:lang w:val="az-Latn-AZ"/>
        </w:rPr>
        <w:t xml:space="preserve">qiymətləndirici </w:t>
      </w:r>
      <w:r w:rsidRPr="009C2EF2">
        <w:rPr>
          <w:rFonts w:ascii="Times New Roman" w:hAnsi="Times New Roman"/>
          <w:color w:val="231F20"/>
          <w:spacing w:val="1"/>
          <w:sz w:val="24"/>
          <w:szCs w:val="24"/>
          <w:lang w:val="az-Latn-AZ"/>
        </w:rPr>
        <w:t xml:space="preserve">tərəfindən deyil, kənar şəxs tərəfindən verilmiş məlumat daxil olarsa o zaman məlumatın etibarlılığına və onun qiymətləndirmə rəyinə mənfi təsir </w:t>
      </w:r>
      <w:r w:rsidRPr="009C2EF2">
        <w:rPr>
          <w:rFonts w:ascii="Times New Roman" w:hAnsi="Times New Roman"/>
          <w:i/>
          <w:color w:val="231F20"/>
          <w:spacing w:val="-1"/>
          <w:sz w:val="24"/>
          <w:szCs w:val="24"/>
          <w:lang w:val="az-Latn-AZ"/>
        </w:rPr>
        <w:t>göstərib-göstərməyəcəyinə</w:t>
      </w:r>
      <w:r w:rsidRPr="009C2EF2">
        <w:rPr>
          <w:rFonts w:ascii="Times New Roman" w:hAnsi="Times New Roman"/>
          <w:color w:val="231F20"/>
          <w:spacing w:val="1"/>
          <w:sz w:val="24"/>
          <w:szCs w:val="24"/>
          <w:lang w:val="az-Latn-AZ"/>
        </w:rPr>
        <w:t xml:space="preserve"> diqqət </w:t>
      </w:r>
      <w:r w:rsidRPr="009C2EF2">
        <w:rPr>
          <w:rFonts w:ascii="Times New Roman" w:hAnsi="Times New Roman"/>
          <w:i/>
          <w:color w:val="231F20"/>
          <w:spacing w:val="1"/>
          <w:sz w:val="24"/>
          <w:szCs w:val="24"/>
          <w:lang w:val="az-Latn-AZ"/>
        </w:rPr>
        <w:t>yetirilməlidir</w:t>
      </w:r>
      <w:r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Qiymətləndiriciyə </w:t>
      </w:r>
      <w:r w:rsidRPr="009C2EF2">
        <w:rPr>
          <w:rFonts w:ascii="Times New Roman" w:hAnsi="Times New Roman"/>
          <w:color w:val="231F20"/>
          <w:spacing w:val="1"/>
          <w:sz w:val="24"/>
          <w:szCs w:val="24"/>
          <w:lang w:val="az-Latn-AZ"/>
        </w:rPr>
        <w:t xml:space="preserve">(məsələn, rəhbərlik/sahibkarlar tərəfindən) verilmiş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pacing w:val="1"/>
          <w:sz w:val="24"/>
          <w:szCs w:val="24"/>
          <w:lang w:val="az-Latn-AZ"/>
        </w:rPr>
        <w:t xml:space="preserve">ilkin məlumatların nəzərdən keçirilməsi, araşdırılması və əsaslandırılması tələb oluna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Verilmiş məlumatların etibarlılığı sübut olunmadığı təqdirdə həmin məlumatlardan istifadə </w:t>
      </w:r>
      <w:r w:rsidRPr="009C2EF2">
        <w:rPr>
          <w:rFonts w:ascii="Times New Roman" w:hAnsi="Times New Roman"/>
          <w:i/>
          <w:color w:val="231F20"/>
          <w:spacing w:val="1"/>
          <w:sz w:val="24"/>
          <w:szCs w:val="24"/>
          <w:lang w:val="az-Latn-AZ"/>
        </w:rPr>
        <w:t>olunmamalıdır</w:t>
      </w:r>
      <w:r w:rsidRPr="009C2EF2">
        <w:rPr>
          <w:rFonts w:ascii="Times New Roman" w:hAnsi="Times New Roman"/>
          <w:color w:val="231F20"/>
          <w:spacing w:val="1"/>
          <w:sz w:val="24"/>
          <w:szCs w:val="24"/>
          <w:lang w:val="az-Latn-AZ"/>
        </w:rPr>
        <w:t>.</w:t>
      </w:r>
    </w:p>
    <w:p w:rsidR="00D02DD9" w:rsidRPr="009C2EF2" w:rsidRDefault="00D02DD9" w:rsidP="007562F0">
      <w:pPr>
        <w:pStyle w:val="a3"/>
        <w:kinsoku w:val="0"/>
        <w:overflowPunct w:val="0"/>
        <w:spacing w:before="9"/>
        <w:ind w:left="0"/>
        <w:jc w:val="both"/>
        <w:rPr>
          <w:rFonts w:ascii="Times New Roman" w:hAnsi="Times New Roman"/>
          <w:sz w:val="24"/>
          <w:szCs w:val="24"/>
          <w:lang w:val="az-Latn-AZ"/>
        </w:rPr>
      </w:pPr>
    </w:p>
    <w:p w:rsidR="00D02DD9" w:rsidRPr="009C2EF2" w:rsidRDefault="003C64E0" w:rsidP="007562F0">
      <w:pPr>
        <w:pStyle w:val="a3"/>
        <w:numPr>
          <w:ilvl w:val="1"/>
          <w:numId w:val="107"/>
        </w:numPr>
        <w:tabs>
          <w:tab w:val="left" w:pos="1531"/>
        </w:tabs>
        <w:kinsoku w:val="0"/>
        <w:overflowPunct w:val="0"/>
        <w:spacing w:line="250" w:lineRule="auto"/>
        <w:ind w:right="136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Verilmiş məlumatın etibarlılığı ilə bağlı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aşağıdakı məsələləri nəzərə almalıdır:</w:t>
      </w:r>
    </w:p>
    <w:p w:rsidR="00D02DD9" w:rsidRPr="009C2EF2" w:rsidRDefault="00D02DD9" w:rsidP="007562F0">
      <w:pPr>
        <w:pStyle w:val="a3"/>
        <w:kinsoku w:val="0"/>
        <w:overflowPunct w:val="0"/>
        <w:spacing w:before="9"/>
        <w:ind w:left="0"/>
        <w:jc w:val="both"/>
        <w:rPr>
          <w:rFonts w:ascii="Times New Roman" w:hAnsi="Times New Roman"/>
          <w:sz w:val="24"/>
          <w:szCs w:val="24"/>
          <w:lang w:val="az-Latn-AZ"/>
        </w:rPr>
      </w:pPr>
    </w:p>
    <w:p w:rsidR="00D02DD9" w:rsidRPr="009C2EF2" w:rsidRDefault="003C64E0" w:rsidP="007562F0">
      <w:pPr>
        <w:pStyle w:val="a3"/>
        <w:numPr>
          <w:ilvl w:val="2"/>
          <w:numId w:val="107"/>
        </w:numPr>
        <w:tabs>
          <w:tab w:val="left" w:pos="1815"/>
        </w:tabs>
        <w:kinsoku w:val="0"/>
        <w:overflowPunct w:val="0"/>
        <w:ind w:left="964" w:firstLine="566"/>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qiymətləndirmənin məqsədi</w:t>
      </w:r>
      <w:r w:rsidRPr="009C2EF2">
        <w:rPr>
          <w:rFonts w:ascii="Times New Roman" w:hAnsi="Times New Roman"/>
          <w:color w:val="231F20"/>
          <w:spacing w:val="-1"/>
          <w:sz w:val="24"/>
          <w:szCs w:val="24"/>
          <w:lang w:val="az-Latn-AZ"/>
        </w:rPr>
        <w:t>,</w:t>
      </w:r>
    </w:p>
    <w:p w:rsidR="00D02DD9" w:rsidRPr="009C2EF2" w:rsidRDefault="00D02DD9" w:rsidP="007562F0">
      <w:pPr>
        <w:pStyle w:val="a3"/>
        <w:kinsoku w:val="0"/>
        <w:overflowPunct w:val="0"/>
        <w:spacing w:before="7"/>
        <w:ind w:left="0"/>
        <w:jc w:val="both"/>
        <w:rPr>
          <w:rFonts w:ascii="Times New Roman" w:hAnsi="Times New Roman"/>
          <w:sz w:val="24"/>
          <w:szCs w:val="24"/>
          <w:lang w:val="az-Latn-AZ"/>
        </w:rPr>
      </w:pPr>
    </w:p>
    <w:p w:rsidR="00D02DD9" w:rsidRPr="009C2EF2" w:rsidRDefault="003C64E0" w:rsidP="007562F0">
      <w:pPr>
        <w:pStyle w:val="a3"/>
        <w:numPr>
          <w:ilvl w:val="2"/>
          <w:numId w:val="107"/>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yekun qiymətləndirmə üzrə məlumatın </w:t>
      </w:r>
      <w:r w:rsidRPr="009C2EF2">
        <w:rPr>
          <w:rFonts w:ascii="Times New Roman" w:hAnsi="Times New Roman"/>
          <w:i/>
          <w:color w:val="231F20"/>
          <w:spacing w:val="1"/>
          <w:sz w:val="24"/>
          <w:szCs w:val="24"/>
          <w:lang w:val="az-Latn-AZ"/>
        </w:rPr>
        <w:t>əhəmiyyəti</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ind w:left="4179" w:right="4353"/>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12</w:t>
      </w:r>
    </w:p>
    <w:p w:rsidR="00D02DD9" w:rsidRPr="009C2EF2" w:rsidRDefault="00D02DD9">
      <w:pPr>
        <w:pStyle w:val="a3"/>
        <w:kinsoku w:val="0"/>
        <w:overflowPunct w:val="0"/>
        <w:ind w:left="4179" w:right="4353"/>
        <w:jc w:val="center"/>
        <w:rPr>
          <w:rFonts w:ascii="Times New Roman" w:hAnsi="Times New Roman"/>
          <w:color w:val="000000"/>
          <w:sz w:val="24"/>
          <w:szCs w:val="24"/>
          <w:lang w:val="az-Latn-AZ"/>
        </w:rPr>
        <w:sectPr w:rsidR="00D02DD9" w:rsidRPr="009C2EF2">
          <w:footerReference w:type="default" r:id="rId1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68992" behindDoc="1" locked="0" layoutInCell="0" allowOverlap="1">
                <wp:simplePos x="0" y="0"/>
                <wp:positionH relativeFrom="page">
                  <wp:posOffset>5183505</wp:posOffset>
                </wp:positionH>
                <wp:positionV relativeFrom="page">
                  <wp:posOffset>0</wp:posOffset>
                </wp:positionV>
                <wp:extent cx="431800" cy="8423910"/>
                <wp:effectExtent l="0" t="0" r="0" b="0"/>
                <wp:wrapNone/>
                <wp:docPr id="22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7288C9" id="Freeform 40" o:spid="_x0000_s1026" style="position:absolute;margin-left:408.15pt;margin-top:0;width:34pt;height:663.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1EKv33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107"/>
        </w:numPr>
        <w:tabs>
          <w:tab w:val="left" w:pos="965"/>
        </w:tabs>
        <w:kinsoku w:val="0"/>
        <w:overflowPunct w:val="0"/>
        <w:spacing w:before="77"/>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ilə bağlı mənbənin ekspertizası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7"/>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mənbənin 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ilə və ya qiymətləndirməni qəbuledən şəxs ilə əlaqəsinin olub-olmaması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20.3 bəndinə (a) baxın).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7"/>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tapşırığının əhatə dairəsi qiymətləndirmə tapşırığının üzvləri ilə </w:t>
      </w:r>
      <w:r w:rsidRPr="009C2EF2">
        <w:rPr>
          <w:rFonts w:ascii="Times New Roman" w:hAnsi="Times New Roman"/>
          <w:i/>
          <w:color w:val="231F20"/>
          <w:sz w:val="24"/>
          <w:szCs w:val="24"/>
          <w:lang w:val="az-Latn-AZ"/>
        </w:rPr>
        <w:t xml:space="preserve">razılaşdırılmalıdır </w:t>
      </w:r>
      <w:r w:rsidRPr="009C2EF2">
        <w:rPr>
          <w:rFonts w:ascii="Times New Roman" w:hAnsi="Times New Roman"/>
          <w:color w:val="231F20"/>
          <w:sz w:val="24"/>
          <w:szCs w:val="24"/>
          <w:lang w:val="az-Latn-AZ"/>
        </w:rPr>
        <w:t xml:space="preserve">və </w:t>
      </w:r>
      <w:r w:rsidRPr="009C2EF2">
        <w:rPr>
          <w:rFonts w:ascii="Times New Roman" w:hAnsi="Times New Roman"/>
          <w:i/>
          <w:color w:val="231F20"/>
          <w:spacing w:val="1"/>
          <w:sz w:val="24"/>
          <w:szCs w:val="24"/>
          <w:lang w:val="az-Latn-AZ"/>
        </w:rPr>
        <w:t>qiymətləndirmənin məqsədi</w:t>
      </w:r>
      <w:r w:rsidRPr="009C2EF2">
        <w:rPr>
          <w:rFonts w:ascii="Times New Roman" w:hAnsi="Times New Roman"/>
          <w:color w:val="231F20"/>
          <w:sz w:val="24"/>
          <w:szCs w:val="24"/>
          <w:lang w:val="az-Latn-AZ"/>
        </w:rPr>
        <w:t xml:space="preserve">, dəyər bazası, araşdırmalar ilə bağlı məhdudiyyətlər və </w:t>
      </w:r>
      <w:r w:rsidRPr="009C2EF2">
        <w:rPr>
          <w:rFonts w:ascii="Times New Roman" w:hAnsi="Times New Roman"/>
          <w:i/>
          <w:color w:val="231F20"/>
          <w:spacing w:val="-1"/>
          <w:sz w:val="24"/>
          <w:szCs w:val="24"/>
          <w:lang w:val="az-Latn-AZ"/>
        </w:rPr>
        <w:t xml:space="preserve">etibarlı </w:t>
      </w:r>
      <w:r w:rsidRPr="009C2EF2">
        <w:rPr>
          <w:rFonts w:ascii="Times New Roman" w:hAnsi="Times New Roman"/>
          <w:color w:val="231F20"/>
          <w:sz w:val="24"/>
          <w:szCs w:val="24"/>
          <w:lang w:val="az-Latn-AZ"/>
        </w:rPr>
        <w:t xml:space="preserve">məlumat mənbələri əhatə dairəsinin tərkib hissələrini təşkil edir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07"/>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1232" behindDoc="0" locked="0" layoutInCell="0" allowOverlap="1">
                <wp:simplePos x="0" y="0"/>
                <wp:positionH relativeFrom="page">
                  <wp:posOffset>5276215</wp:posOffset>
                </wp:positionH>
                <wp:positionV relativeFrom="paragraph">
                  <wp:posOffset>558165</wp:posOffset>
                </wp:positionV>
                <wp:extent cx="152400" cy="3708400"/>
                <wp:effectExtent l="0" t="0" r="0" b="0"/>
                <wp:wrapNone/>
                <wp:docPr id="2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70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102 Araşdırmalar və Uyğunluq</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left:0;text-align:left;margin-left:415.45pt;margin-top:43.95pt;width:12pt;height:29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102 Araşdırmalar və Uyğunluq</w:t>
                      </w:r>
                    </w:p>
                  </w:txbxContent>
                </v:textbox>
                <w10:wrap anchorx="page"/>
              </v:shape>
            </w:pict>
          </mc:Fallback>
        </mc:AlternateContent>
      </w:r>
      <w:r w:rsidR="003C64E0" w:rsidRPr="009C2EF2">
        <w:rPr>
          <w:rFonts w:ascii="Times New Roman" w:hAnsi="Times New Roman"/>
          <w:color w:val="231F20"/>
          <w:spacing w:val="-1"/>
          <w:sz w:val="24"/>
          <w:szCs w:val="24"/>
          <w:lang w:val="az-Latn-AZ"/>
        </w:rPr>
        <w:t>Tapşırığın icrası zamanı işin əhatə dairəsinin tərkib hissəsi olan araşdırmalar nəticəsində etibarlı qiymətləndirmənin aparılmayacağı və ya üçüncü şəxs tərəfindən veriləcək məlumatın qənaətbəxş olmayacağı ilə bağlı əsaslandırmalar qiymətləndirmə tapşırığının BQS-ə cavab verməyəcəyinə dəlalət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06"/>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Qovluğu</w:t>
      </w:r>
    </w:p>
    <w:p w:rsidR="00D02DD9" w:rsidRPr="009C2EF2" w:rsidRDefault="003C64E0">
      <w:pPr>
        <w:pStyle w:val="a3"/>
        <w:numPr>
          <w:ilvl w:val="1"/>
          <w:numId w:val="106"/>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Qanunverici, hüquqi və tənzimləyici tələblərə uyğun olaraq qiymətləndirmə zamanı görülmüş işlər, eləcə də, tapşırığın başa çatmasından sonra müəyyən müddət ərzində nəticələri əldə olunmuş işin bazası qovluqda </w:t>
      </w:r>
      <w:r w:rsidRPr="009C2EF2">
        <w:rPr>
          <w:rFonts w:ascii="Times New Roman" w:hAnsi="Times New Roman"/>
          <w:i/>
          <w:color w:val="231F20"/>
          <w:sz w:val="24"/>
          <w:szCs w:val="24"/>
          <w:lang w:val="az-Latn-AZ"/>
        </w:rPr>
        <w:t>saxlanılmalıdır</w:t>
      </w:r>
      <w:r w:rsidRPr="009C2EF2">
        <w:rPr>
          <w:rFonts w:ascii="Times New Roman" w:hAnsi="Times New Roman"/>
          <w:color w:val="231F20"/>
          <w:sz w:val="24"/>
          <w:szCs w:val="24"/>
          <w:lang w:val="az-Latn-AZ"/>
        </w:rPr>
        <w:t xml:space="preserve">. Tələblərə uyğun olaraq əsas məlumatlar, bütün hesablamalar, yekun nəticə əsasında aparılmış araşdırmalar və təhlillər, </w:t>
      </w:r>
      <w:r w:rsidRPr="009C2EF2">
        <w:rPr>
          <w:rFonts w:ascii="Times New Roman" w:hAnsi="Times New Roman"/>
          <w:i/>
          <w:color w:val="231F20"/>
          <w:sz w:val="24"/>
          <w:szCs w:val="24"/>
          <w:lang w:val="az-Latn-AZ"/>
        </w:rPr>
        <w:t xml:space="preserve">müştəriyə </w:t>
      </w:r>
      <w:r w:rsidRPr="009C2EF2">
        <w:rPr>
          <w:rFonts w:ascii="Times New Roman" w:hAnsi="Times New Roman"/>
          <w:color w:val="231F20"/>
          <w:sz w:val="24"/>
          <w:szCs w:val="24"/>
          <w:lang w:val="az-Latn-AZ"/>
        </w:rPr>
        <w:t xml:space="preserve">təqdim olunmuş layihənin surəti və ya yekun hesabat(lar) qovluğa daxil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0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Digər Standartlarla Uyğunluq</w:t>
      </w:r>
    </w:p>
    <w:p w:rsidR="00D02DD9" w:rsidRPr="009C2EF2" w:rsidRDefault="003C64E0">
      <w:pPr>
        <w:pStyle w:val="a3"/>
        <w:numPr>
          <w:ilvl w:val="1"/>
          <w:numId w:val="105"/>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BQS </w:t>
      </w:r>
      <w:r w:rsidRPr="009C2EF2">
        <w:rPr>
          <w:rFonts w:ascii="Times New Roman" w:hAnsi="Times New Roman"/>
          <w:i/>
          <w:color w:val="231F20"/>
          <w:sz w:val="24"/>
          <w:szCs w:val="24"/>
          <w:lang w:val="az-Latn-AZ"/>
        </w:rPr>
        <w:t xml:space="preserve">Çərçivəsində </w:t>
      </w:r>
      <w:r w:rsidRPr="009C2EF2">
        <w:rPr>
          <w:rFonts w:ascii="Times New Roman" w:hAnsi="Times New Roman"/>
          <w:color w:val="231F20"/>
          <w:spacing w:val="1"/>
          <w:sz w:val="24"/>
          <w:szCs w:val="24"/>
          <w:lang w:val="az-Latn-AZ"/>
        </w:rPr>
        <w:t xml:space="preserve">də qeyd olunduğu kimi, BQS-in bir </w:t>
      </w:r>
      <w:r w:rsidR="007562F0" w:rsidRPr="009C2EF2">
        <w:rPr>
          <w:rFonts w:ascii="Times New Roman" w:hAnsi="Times New Roman"/>
          <w:color w:val="231F20"/>
          <w:spacing w:val="1"/>
          <w:sz w:val="24"/>
          <w:szCs w:val="24"/>
          <w:lang w:val="az-Latn-AZ"/>
        </w:rPr>
        <w:t>qisim</w:t>
      </w:r>
      <w:r w:rsidRPr="009C2EF2">
        <w:rPr>
          <w:rFonts w:ascii="Times New Roman" w:hAnsi="Times New Roman"/>
          <w:color w:val="231F20"/>
          <w:spacing w:val="1"/>
          <w:sz w:val="24"/>
          <w:szCs w:val="24"/>
          <w:lang w:val="az-Latn-AZ"/>
        </w:rPr>
        <w:t xml:space="preserve"> tələblərindən fərqlənən qanunverici, hüquqi, tənzimləyici və digər rəhbər təlimatların əməl olunması </w:t>
      </w:r>
      <w:r w:rsidRPr="009C2EF2">
        <w:rPr>
          <w:rFonts w:ascii="Times New Roman" w:hAnsi="Times New Roman"/>
          <w:i/>
          <w:color w:val="231F20"/>
          <w:sz w:val="24"/>
          <w:szCs w:val="24"/>
          <w:lang w:val="az-Latn-AZ"/>
        </w:rPr>
        <w:t>vacib</w:t>
      </w:r>
      <w:r w:rsidRPr="009C2EF2">
        <w:rPr>
          <w:rFonts w:ascii="Times New Roman" w:hAnsi="Times New Roman"/>
          <w:color w:val="231F20"/>
          <w:spacing w:val="1"/>
          <w:sz w:val="24"/>
          <w:szCs w:val="24"/>
          <w:lang w:val="az-Latn-AZ"/>
        </w:rPr>
        <w:t xml:space="preserve"> olduğu təqdirdə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qanunverici, hüquqi, tənzimləyici və digər rəhbər təlimatlara əməl etməlidir (bu "</w:t>
      </w:r>
      <w:r w:rsidRPr="009C2EF2">
        <w:rPr>
          <w:rFonts w:ascii="Times New Roman" w:hAnsi="Times New Roman"/>
          <w:i/>
          <w:color w:val="231F20"/>
          <w:sz w:val="24"/>
          <w:szCs w:val="24"/>
          <w:lang w:val="az-Latn-AZ"/>
        </w:rPr>
        <w:t>kənarlaşmalar</w:t>
      </w:r>
      <w:r w:rsidRPr="009C2EF2">
        <w:rPr>
          <w:rFonts w:ascii="Times New Roman" w:hAnsi="Times New Roman"/>
          <w:color w:val="231F20"/>
          <w:spacing w:val="1"/>
          <w:sz w:val="24"/>
          <w:szCs w:val="24"/>
          <w:lang w:val="az-Latn-AZ"/>
        </w:rPr>
        <w:t>" adlanır). Belə qiymətləndirmə BQS-ə uyğun şəkildə icra edilmişdir.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5"/>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üzrə Peşəkar Təşkilatlar tərəfindən müəyyən edilmiş tələblər kimi əksər tələb qrupları və digər peşəkar orqanlar və ya şirkətlərin daxili siyasət və proseduraları BQS-ə zidd olmayacaq və</w:t>
      </w:r>
      <w:r w:rsidR="007562F0"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 xml:space="preserve">üzərində əlavə tələblər təyin edəcək. BQS-in bütün tələblərinə riayət olunduğu təqdirdə bu kimi standartlara da əməl oluna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pacing w:val="1"/>
          <w:sz w:val="24"/>
          <w:szCs w:val="24"/>
          <w:lang w:val="az-Latn-AZ"/>
        </w:rPr>
        <w:t xml:space="preserve">və belə standartlara əməl olunması </w:t>
      </w:r>
      <w:r w:rsidRPr="009C2EF2">
        <w:rPr>
          <w:rFonts w:ascii="Times New Roman" w:hAnsi="Times New Roman"/>
          <w:i/>
          <w:color w:val="231F20"/>
          <w:spacing w:val="1"/>
          <w:sz w:val="24"/>
          <w:szCs w:val="24"/>
          <w:lang w:val="az-Latn-AZ"/>
        </w:rPr>
        <w:t>kənarlaşmalar</w:t>
      </w:r>
      <w:r w:rsidRPr="009C2EF2">
        <w:rPr>
          <w:rFonts w:ascii="Times New Roman" w:hAnsi="Times New Roman"/>
          <w:color w:val="231F20"/>
          <w:spacing w:val="1"/>
          <w:sz w:val="24"/>
          <w:szCs w:val="24"/>
          <w:lang w:val="az-Latn-AZ"/>
        </w:rPr>
        <w:t xml:space="preserve"> kimi qiymətləndirilməyəcək.</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a3"/>
        <w:kinsoku w:val="0"/>
        <w:overflowPunct w:val="0"/>
        <w:ind w:left="2871" w:right="3725"/>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13</w:t>
      </w:r>
    </w:p>
    <w:p w:rsidR="00D02DD9" w:rsidRPr="009C2EF2" w:rsidRDefault="00D02DD9">
      <w:pPr>
        <w:pStyle w:val="a3"/>
        <w:kinsoku w:val="0"/>
        <w:overflowPunct w:val="0"/>
        <w:ind w:left="2871" w:right="3725"/>
        <w:jc w:val="center"/>
        <w:rPr>
          <w:rFonts w:ascii="Times New Roman" w:hAnsi="Times New Roman"/>
          <w:color w:val="000000"/>
          <w:sz w:val="24"/>
          <w:szCs w:val="24"/>
          <w:lang w:val="az-Latn-AZ"/>
        </w:rPr>
        <w:sectPr w:rsidR="00D02DD9" w:rsidRPr="009C2EF2">
          <w:footerReference w:type="default" r:id="rId1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0016" behindDoc="1" locked="0" layoutInCell="0" allowOverlap="1">
                <wp:simplePos x="0" y="0"/>
                <wp:positionH relativeFrom="page">
                  <wp:posOffset>0</wp:posOffset>
                </wp:positionH>
                <wp:positionV relativeFrom="page">
                  <wp:posOffset>0</wp:posOffset>
                </wp:positionV>
                <wp:extent cx="432435" cy="8424545"/>
                <wp:effectExtent l="0" t="0" r="0" b="0"/>
                <wp:wrapNone/>
                <wp:docPr id="22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CF8DCA" id="Freeform 42" o:spid="_x0000_s1026" style="position:absolute;margin-left:0;margin-top:0;width:34.05pt;height:663.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BKUCy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29"/>
        <w:jc w:val="center"/>
        <w:rPr>
          <w:rFonts w:ascii="Times New Roman" w:hAnsi="Times New Roman"/>
          <w:color w:val="000000"/>
          <w:sz w:val="24"/>
          <w:szCs w:val="24"/>
          <w:lang w:val="az-Latn-AZ"/>
        </w:rPr>
      </w:pPr>
      <w:bookmarkStart w:id="6" w:name="bookmark5"/>
      <w:bookmarkEnd w:id="6"/>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7"/>
        <w:ind w:left="0"/>
        <w:rPr>
          <w:rFonts w:ascii="Times New Roman" w:hAnsi="Times New Roman"/>
          <w:i/>
          <w:sz w:val="24"/>
          <w:szCs w:val="24"/>
          <w:lang w:val="az-Latn-AZ"/>
        </w:rPr>
      </w:pPr>
    </w:p>
    <w:p w:rsidR="00D02DD9" w:rsidRPr="009C2EF2" w:rsidRDefault="003C64E0">
      <w:pPr>
        <w:pStyle w:val="Heading21"/>
        <w:kinsoku w:val="0"/>
        <w:overflowPunct w:val="0"/>
        <w:ind w:left="963"/>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103 Hesabat</w:t>
      </w:r>
    </w:p>
    <w:p w:rsidR="00D02DD9" w:rsidRPr="009C2EF2" w:rsidRDefault="00D02DD9">
      <w:pPr>
        <w:pStyle w:val="a3"/>
        <w:kinsoku w:val="0"/>
        <w:overflowPunct w:val="0"/>
        <w:spacing w:before="3"/>
        <w:ind w:left="0"/>
        <w:rPr>
          <w:rFonts w:ascii="Times New Roman" w:hAnsi="Times New Roman"/>
          <w:b/>
          <w:sz w:val="24"/>
          <w:szCs w:val="24"/>
          <w:lang w:val="az-Latn-AZ"/>
        </w:rPr>
      </w:pPr>
    </w:p>
    <w:tbl>
      <w:tblPr>
        <w:tblW w:w="0" w:type="auto"/>
        <w:tblInd w:w="964" w:type="dxa"/>
        <w:tblLayout w:type="fixed"/>
        <w:tblCellMar>
          <w:left w:w="0" w:type="dxa"/>
          <w:right w:w="0" w:type="dxa"/>
        </w:tblCellMar>
        <w:tblLook w:val="04A0" w:firstRow="1" w:lastRow="0" w:firstColumn="1" w:lastColumn="0" w:noHBand="0" w:noVBand="1"/>
      </w:tblPr>
      <w:tblGrid>
        <w:gridCol w:w="3912"/>
        <w:gridCol w:w="2834"/>
      </w:tblGrid>
      <w:tr w:rsidR="00D02DD9" w:rsidRPr="009C2EF2">
        <w:trPr>
          <w:trHeight w:hRule="exact" w:val="471"/>
        </w:trPr>
        <w:tc>
          <w:tcPr>
            <w:tcW w:w="3912" w:type="dxa"/>
            <w:tcBorders>
              <w:top w:val="nil"/>
              <w:left w:val="nil"/>
              <w:bottom w:val="nil"/>
              <w:right w:val="nil"/>
            </w:tcBorders>
            <w:shd w:val="clear" w:color="auto" w:fill="E6E7E8"/>
          </w:tcPr>
          <w:p w:rsidR="00D02DD9" w:rsidRPr="009C2EF2" w:rsidRDefault="00D02DD9">
            <w:pPr>
              <w:pStyle w:val="TableParagraph"/>
              <w:kinsoku w:val="0"/>
              <w:overflowPunct w:val="0"/>
              <w:spacing w:before="10"/>
              <w:rPr>
                <w:b/>
                <w:sz w:val="24"/>
                <w:szCs w:val="24"/>
                <w:lang w:val="az-Latn-AZ"/>
              </w:rPr>
            </w:pPr>
          </w:p>
          <w:p w:rsidR="00D02DD9" w:rsidRPr="009C2EF2" w:rsidRDefault="003C64E0">
            <w:pPr>
              <w:pStyle w:val="TableParagraph"/>
              <w:kinsoku w:val="0"/>
              <w:overflowPunct w:val="0"/>
              <w:ind w:left="283"/>
              <w:rPr>
                <w:sz w:val="24"/>
                <w:szCs w:val="24"/>
                <w:lang w:val="az-Latn-AZ"/>
              </w:rPr>
            </w:pPr>
            <w:r w:rsidRPr="009C2EF2">
              <w:rPr>
                <w:b/>
                <w:color w:val="231F20"/>
                <w:spacing w:val="1"/>
                <w:sz w:val="24"/>
                <w:szCs w:val="24"/>
                <w:lang w:val="az-Latn-AZ"/>
              </w:rPr>
              <w:t>Mündəricat</w:t>
            </w:r>
          </w:p>
        </w:tc>
        <w:tc>
          <w:tcPr>
            <w:tcW w:w="2834" w:type="dxa"/>
            <w:tcBorders>
              <w:top w:val="nil"/>
              <w:left w:val="nil"/>
              <w:bottom w:val="nil"/>
              <w:right w:val="nil"/>
            </w:tcBorders>
            <w:shd w:val="clear" w:color="auto" w:fill="E6E7E8"/>
          </w:tcPr>
          <w:p w:rsidR="00D02DD9" w:rsidRPr="009C2EF2" w:rsidRDefault="00D02DD9">
            <w:pPr>
              <w:pStyle w:val="TableParagraph"/>
              <w:kinsoku w:val="0"/>
              <w:overflowPunct w:val="0"/>
              <w:spacing w:before="10"/>
              <w:rPr>
                <w:b/>
                <w:sz w:val="24"/>
                <w:szCs w:val="24"/>
                <w:lang w:val="az-Latn-AZ"/>
              </w:rPr>
            </w:pPr>
          </w:p>
          <w:p w:rsidR="00D02DD9" w:rsidRPr="009C2EF2" w:rsidRDefault="003C64E0">
            <w:pPr>
              <w:pStyle w:val="TableParagraph"/>
              <w:kinsoku w:val="0"/>
              <w:overflowPunct w:val="0"/>
              <w:ind w:left="1540"/>
              <w:rPr>
                <w:sz w:val="24"/>
                <w:szCs w:val="24"/>
                <w:lang w:val="az-Latn-AZ"/>
              </w:rPr>
            </w:pPr>
            <w:r w:rsidRPr="009C2EF2">
              <w:rPr>
                <w:b/>
                <w:color w:val="231F20"/>
                <w:spacing w:val="1"/>
                <w:sz w:val="24"/>
                <w:szCs w:val="24"/>
                <w:lang w:val="az-Latn-AZ"/>
              </w:rPr>
              <w:t>Bəndlər</w:t>
            </w:r>
          </w:p>
        </w:tc>
      </w:tr>
      <w:tr w:rsidR="00D02DD9" w:rsidRPr="009C2EF2">
        <w:trPr>
          <w:trHeight w:hRule="exact" w:val="301"/>
        </w:trPr>
        <w:tc>
          <w:tcPr>
            <w:tcW w:w="3912" w:type="dxa"/>
            <w:tcBorders>
              <w:top w:val="nil"/>
              <w:left w:val="nil"/>
              <w:bottom w:val="nil"/>
              <w:right w:val="nil"/>
            </w:tcBorders>
            <w:shd w:val="clear" w:color="auto" w:fill="E6E7E8"/>
          </w:tcPr>
          <w:p w:rsidR="00D02DD9" w:rsidRPr="009C2EF2" w:rsidRDefault="003C64E0">
            <w:pPr>
              <w:pStyle w:val="TableParagraph"/>
              <w:kinsoku w:val="0"/>
              <w:overflowPunct w:val="0"/>
              <w:spacing w:before="51"/>
              <w:ind w:left="283"/>
              <w:rPr>
                <w:sz w:val="24"/>
                <w:szCs w:val="24"/>
                <w:lang w:val="az-Latn-AZ"/>
              </w:rPr>
            </w:pPr>
            <w:r w:rsidRPr="009C2EF2">
              <w:rPr>
                <w:color w:val="231F20"/>
                <w:sz w:val="24"/>
                <w:szCs w:val="24"/>
                <w:lang w:val="az-Latn-AZ"/>
              </w:rPr>
              <w:t>Giriş</w:t>
            </w:r>
          </w:p>
        </w:tc>
        <w:tc>
          <w:tcPr>
            <w:tcW w:w="2834" w:type="dxa"/>
            <w:tcBorders>
              <w:top w:val="nil"/>
              <w:left w:val="nil"/>
              <w:bottom w:val="nil"/>
              <w:right w:val="nil"/>
            </w:tcBorders>
            <w:shd w:val="clear" w:color="auto" w:fill="E6E7E8"/>
          </w:tcPr>
          <w:p w:rsidR="00D02DD9" w:rsidRPr="009C2EF2" w:rsidRDefault="003C64E0">
            <w:pPr>
              <w:pStyle w:val="TableParagraph"/>
              <w:kinsoku w:val="0"/>
              <w:overflowPunct w:val="0"/>
              <w:spacing w:before="51"/>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391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Ümumi tələblər</w:t>
            </w:r>
          </w:p>
        </w:tc>
        <w:tc>
          <w:tcPr>
            <w:tcW w:w="283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w w:val="95"/>
                <w:sz w:val="24"/>
                <w:szCs w:val="24"/>
                <w:lang w:val="az-Latn-AZ"/>
              </w:rPr>
              <w:t>20</w:t>
            </w:r>
          </w:p>
        </w:tc>
      </w:tr>
      <w:tr w:rsidR="00D02DD9" w:rsidRPr="009C2EF2">
        <w:trPr>
          <w:trHeight w:hRule="exact" w:val="273"/>
        </w:trPr>
        <w:tc>
          <w:tcPr>
            <w:tcW w:w="391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Qovluqları</w:t>
            </w:r>
          </w:p>
        </w:tc>
        <w:tc>
          <w:tcPr>
            <w:tcW w:w="283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440"/>
        </w:trPr>
        <w:tc>
          <w:tcPr>
            <w:tcW w:w="391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üzrə İcmal Hesabat</w:t>
            </w:r>
          </w:p>
        </w:tc>
        <w:tc>
          <w:tcPr>
            <w:tcW w:w="283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bl>
    <w:p w:rsidR="00D02DD9" w:rsidRPr="009C2EF2" w:rsidRDefault="00D02DD9">
      <w:pPr>
        <w:pStyle w:val="a3"/>
        <w:kinsoku w:val="0"/>
        <w:overflowPunct w:val="0"/>
        <w:spacing w:before="4"/>
        <w:ind w:left="0"/>
        <w:rPr>
          <w:rFonts w:ascii="Times New Roman" w:hAnsi="Times New Roman"/>
          <w:b/>
          <w:sz w:val="24"/>
          <w:szCs w:val="24"/>
          <w:lang w:val="az-Latn-AZ"/>
        </w:rPr>
      </w:pPr>
    </w:p>
    <w:p w:rsidR="00D02DD9" w:rsidRPr="009C2EF2" w:rsidRDefault="003C64E0">
      <w:pPr>
        <w:pStyle w:val="Heading41"/>
        <w:numPr>
          <w:ilvl w:val="0"/>
          <w:numId w:val="104"/>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104"/>
        </w:numPr>
        <w:tabs>
          <w:tab w:val="left" w:pos="1531"/>
        </w:tabs>
        <w:kinsoku w:val="0"/>
        <w:overflowPunct w:val="0"/>
        <w:spacing w:before="122" w:line="250" w:lineRule="auto"/>
        <w:ind w:right="13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Qiymətləndirmənin və ya qiymətləndirmə xülasəsinin tam başa düşülməsi üçün qiymətləndirmə hesabatında zəruri məlumatların verilməsi mühüm əhəmiyyət kəsb edir. Hesabat nəzərdə tutulmuş istifadəçilərdə qiymətləndirmə haqqında düzgün təsəvvür </w:t>
      </w:r>
      <w:r w:rsidRPr="009C2EF2">
        <w:rPr>
          <w:rFonts w:ascii="Times New Roman" w:hAnsi="Times New Roman"/>
          <w:i/>
          <w:color w:val="231F20"/>
          <w:sz w:val="24"/>
          <w:szCs w:val="24"/>
          <w:lang w:val="az-Latn-AZ"/>
        </w:rPr>
        <w:t>yaratmalıdır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04"/>
        </w:numPr>
        <w:tabs>
          <w:tab w:val="left" w:pos="1531"/>
        </w:tabs>
        <w:kinsoku w:val="0"/>
        <w:overflowPunct w:val="0"/>
        <w:spacing w:line="250" w:lineRule="auto"/>
        <w:ind w:right="1155"/>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2256" behindDoc="0" locked="0" layoutInCell="0" allowOverlap="1">
                <wp:simplePos x="0" y="0"/>
                <wp:positionH relativeFrom="page">
                  <wp:posOffset>151130</wp:posOffset>
                </wp:positionH>
                <wp:positionV relativeFrom="paragraph">
                  <wp:posOffset>13970</wp:posOffset>
                </wp:positionV>
                <wp:extent cx="152400" cy="2419985"/>
                <wp:effectExtent l="0" t="0" r="0" b="0"/>
                <wp:wrapNone/>
                <wp:docPr id="2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103 Hesabat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left:0;text-align:left;margin-left:11.9pt;margin-top:1.1pt;width:12pt;height:190.5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Mvsg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103 Hesabat</w:t>
                      </w:r>
                    </w:p>
                  </w:txbxContent>
                </v:textbox>
                <w10:wrap anchorx="page"/>
              </v:shape>
            </w:pict>
          </mc:Fallback>
        </mc:AlternateContent>
      </w:r>
      <w:r w:rsidR="003C64E0" w:rsidRPr="009C2EF2">
        <w:rPr>
          <w:rFonts w:ascii="Times New Roman" w:hAnsi="Times New Roman"/>
          <w:color w:val="231F20"/>
          <w:spacing w:val="-8"/>
          <w:sz w:val="24"/>
          <w:szCs w:val="24"/>
          <w:lang w:val="az-Latn-AZ"/>
        </w:rPr>
        <w:t xml:space="preserve">Faydalı məlumatların çatdırılması məqsədi ilə tapşırığın əhatə dairəsi, </w:t>
      </w:r>
      <w:r w:rsidR="003C64E0" w:rsidRPr="009C2EF2">
        <w:rPr>
          <w:rFonts w:ascii="Times New Roman" w:hAnsi="Times New Roman"/>
          <w:i/>
          <w:color w:val="231F20"/>
          <w:spacing w:val="1"/>
          <w:sz w:val="24"/>
          <w:szCs w:val="24"/>
          <w:lang w:val="az-Latn-AZ"/>
        </w:rPr>
        <w:t xml:space="preserve">məqsədi </w:t>
      </w:r>
      <w:r w:rsidR="003C64E0" w:rsidRPr="009C2EF2">
        <w:rPr>
          <w:rFonts w:ascii="Times New Roman" w:hAnsi="Times New Roman"/>
          <w:color w:val="231F20"/>
          <w:spacing w:val="-8"/>
          <w:sz w:val="24"/>
          <w:szCs w:val="24"/>
          <w:lang w:val="az-Latn-AZ"/>
        </w:rPr>
        <w:t xml:space="preserve">və məqsədyönlü istifadə qaydaları (o cümlədən istifadə ilə bağlı məhdudiyyətlər), ehtimalların açıqlanması, xüsusi ehtimallar (BQS 104 </w:t>
      </w:r>
      <w:r w:rsidR="003C64E0" w:rsidRPr="009C2EF2">
        <w:rPr>
          <w:rFonts w:ascii="Times New Roman" w:hAnsi="Times New Roman"/>
          <w:i/>
          <w:color w:val="231F20"/>
          <w:sz w:val="24"/>
          <w:szCs w:val="24"/>
          <w:lang w:val="az-Latn-AZ"/>
        </w:rPr>
        <w:t>Dəyər Bazası</w:t>
      </w:r>
      <w:r w:rsidR="003C64E0" w:rsidRPr="009C2EF2">
        <w:rPr>
          <w:rFonts w:ascii="Times New Roman" w:hAnsi="Times New Roman"/>
          <w:color w:val="231F20"/>
          <w:spacing w:val="-8"/>
          <w:sz w:val="24"/>
          <w:szCs w:val="24"/>
          <w:lang w:val="az-Latn-AZ"/>
        </w:rPr>
        <w:t xml:space="preserve">, 200.4-cü bənd), qiymətləndirməyə birbaşa təsir edən </w:t>
      </w:r>
      <w:r w:rsidR="003C64E0" w:rsidRPr="009C2EF2">
        <w:rPr>
          <w:rFonts w:ascii="Times New Roman" w:hAnsi="Times New Roman"/>
          <w:i/>
          <w:color w:val="231F20"/>
          <w:sz w:val="24"/>
          <w:szCs w:val="24"/>
          <w:lang w:val="az-Latn-AZ"/>
        </w:rPr>
        <w:t xml:space="preserve">dəqiqləşdirilməmiş </w:t>
      </w:r>
      <w:r w:rsidR="003C64E0" w:rsidRPr="009C2EF2">
        <w:rPr>
          <w:rFonts w:ascii="Times New Roman" w:hAnsi="Times New Roman"/>
          <w:color w:val="231F20"/>
          <w:spacing w:val="-8"/>
          <w:sz w:val="24"/>
          <w:szCs w:val="24"/>
          <w:lang w:val="az-Latn-AZ"/>
        </w:rPr>
        <w:t xml:space="preserve">məlumatlar və ya məhdudlaşdırıcı şərtlər hesabatda aydın və düzgün şəkildə təsvir </w:t>
      </w:r>
      <w:r w:rsidR="003C64E0" w:rsidRPr="009C2EF2">
        <w:rPr>
          <w:rFonts w:ascii="Times New Roman" w:hAnsi="Times New Roman"/>
          <w:i/>
          <w:color w:val="231F20"/>
          <w:sz w:val="24"/>
          <w:szCs w:val="24"/>
          <w:lang w:val="az-Latn-AZ"/>
        </w:rPr>
        <w:t>edilməlidir</w:t>
      </w:r>
      <w:r w:rsidR="003C64E0" w:rsidRPr="009C2EF2">
        <w:rPr>
          <w:rFonts w:ascii="Times New Roman" w:hAnsi="Times New Roman"/>
          <w:color w:val="231F20"/>
          <w:spacing w:val="-8"/>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4"/>
        </w:numPr>
        <w:tabs>
          <w:tab w:val="left" w:pos="1531"/>
        </w:tabs>
        <w:kinsoku w:val="0"/>
        <w:overflowPunct w:val="0"/>
        <w:spacing w:line="250" w:lineRule="auto"/>
        <w:ind w:right="104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 bütün qiymətləndirmə hesabatlarına və ya geniş təsviri hesabatdan qısa yekun hesabatadək </w:t>
      </w:r>
      <w:r w:rsidRPr="009C2EF2">
        <w:rPr>
          <w:rFonts w:ascii="Times New Roman" w:hAnsi="Times New Roman"/>
          <w:i/>
          <w:color w:val="231F20"/>
          <w:spacing w:val="-1"/>
          <w:sz w:val="24"/>
          <w:szCs w:val="24"/>
          <w:lang w:val="az-Latn-AZ"/>
        </w:rPr>
        <w:t xml:space="preserve">uzanan </w:t>
      </w:r>
      <w:r w:rsidRPr="009C2EF2">
        <w:rPr>
          <w:rFonts w:ascii="Times New Roman" w:hAnsi="Times New Roman"/>
          <w:color w:val="231F20"/>
          <w:sz w:val="24"/>
          <w:szCs w:val="24"/>
          <w:lang w:val="az-Latn-AZ"/>
        </w:rPr>
        <w:t>qiymətləndirmə xülasəsinin nəticəsi ilə bağlı bütün qiymətləndirmə hesabatlarına tətbiq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4"/>
        </w:numPr>
        <w:tabs>
          <w:tab w:val="left" w:pos="1531"/>
        </w:tabs>
        <w:kinsoku w:val="0"/>
        <w:overflowPunct w:val="0"/>
        <w:spacing w:line="250" w:lineRule="auto"/>
        <w:ind w:right="1389"/>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sinfində standartlar və ya əlavə tələblərdən yayınma halları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Bu hallar BQS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üzrə Standartlarda verilib.</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03"/>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Ümumi tələblər</w:t>
      </w:r>
    </w:p>
    <w:p w:rsidR="00D02DD9" w:rsidRPr="009C2EF2" w:rsidRDefault="003C64E0">
      <w:pPr>
        <w:pStyle w:val="a3"/>
        <w:numPr>
          <w:ilvl w:val="1"/>
          <w:numId w:val="103"/>
        </w:numPr>
        <w:tabs>
          <w:tab w:val="left" w:pos="1531"/>
        </w:tabs>
        <w:kinsoku w:val="0"/>
        <w:overflowPunct w:val="0"/>
        <w:spacing w:before="122" w:line="250" w:lineRule="auto"/>
        <w:ind w:right="1109"/>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Qiymətləndirmənin məqsədi</w:t>
      </w:r>
      <w:r w:rsidRPr="009C2EF2">
        <w:rPr>
          <w:rFonts w:ascii="Times New Roman" w:hAnsi="Times New Roman"/>
          <w:color w:val="231F20"/>
          <w:sz w:val="24"/>
          <w:szCs w:val="24"/>
          <w:lang w:val="az-Latn-AZ"/>
        </w:rPr>
        <w:t xml:space="preserve">, qiymətləndiriləcək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mürəkkəbliyi və istifadəçilərin tələbləri qiymətləndirmə hesabatının uyğun səviyyəsini müəyyənləşdirəcək. Hesabatın </w:t>
      </w:r>
      <w:r w:rsidRPr="009C2EF2">
        <w:rPr>
          <w:rFonts w:ascii="Times New Roman" w:hAnsi="Times New Roman"/>
          <w:color w:val="231F20"/>
          <w:sz w:val="24"/>
          <w:szCs w:val="24"/>
          <w:lang w:val="az-Latn-AZ"/>
        </w:rPr>
        <w:lastRenderedPageBreak/>
        <w:t xml:space="preserve">forması bütün tərəflərlə </w:t>
      </w:r>
      <w:r w:rsidRPr="009C2EF2">
        <w:rPr>
          <w:rFonts w:ascii="Times New Roman" w:hAnsi="Times New Roman"/>
          <w:i/>
          <w:color w:val="231F20"/>
          <w:spacing w:val="1"/>
          <w:sz w:val="24"/>
          <w:szCs w:val="24"/>
          <w:lang w:val="az-Latn-AZ"/>
        </w:rPr>
        <w:t xml:space="preserve">razılaşdırılmaldır </w:t>
      </w:r>
      <w:r w:rsidRPr="009C2EF2">
        <w:rPr>
          <w:rFonts w:ascii="Times New Roman" w:hAnsi="Times New Roman"/>
          <w:color w:val="231F20"/>
          <w:sz w:val="24"/>
          <w:szCs w:val="24"/>
          <w:lang w:val="az-Latn-AZ"/>
        </w:rPr>
        <w:t xml:space="preserve">(BQS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3"/>
        </w:numPr>
        <w:tabs>
          <w:tab w:val="left" w:pos="1531"/>
        </w:tabs>
        <w:kinsoku w:val="0"/>
        <w:overflowPunct w:val="0"/>
        <w:spacing w:line="250" w:lineRule="auto"/>
        <w:ind w:right="115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standarta əməl olunması üçün xüsusi  hesabat forması və ya formatı tələb olunmur; lakin, hesabat qiymətləndirmə tapşırığının, icra edilmiş işin və əldə olunmuş nəticələrin istifadəçilərə çatdırılmasına kifayət </w:t>
      </w:r>
      <w:r w:rsidRPr="009C2EF2">
        <w:rPr>
          <w:rFonts w:ascii="Times New Roman" w:hAnsi="Times New Roman"/>
          <w:i/>
          <w:color w:val="231F20"/>
          <w:sz w:val="24"/>
          <w:szCs w:val="24"/>
          <w:lang w:val="az-Latn-AZ"/>
        </w:rPr>
        <w:t>etməlidir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3"/>
        </w:numPr>
        <w:tabs>
          <w:tab w:val="left" w:pos="1531"/>
        </w:tabs>
        <w:kinsoku w:val="0"/>
        <w:overflowPunct w:val="0"/>
        <w:spacing w:line="250" w:lineRule="auto"/>
        <w:ind w:right="13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hesabat ilkin qiymətləndirmədə iştirak etməyən mütəxəssisə 30.1 və 40.1-ci bəndlərini başa düşməsinə və hesabatı nəzərdən keçirə bilməsinə kifayət </w:t>
      </w:r>
      <w:r w:rsidRPr="009C2EF2">
        <w:rPr>
          <w:rFonts w:ascii="Times New Roman" w:hAnsi="Times New Roman"/>
          <w:i/>
          <w:color w:val="231F20"/>
          <w:spacing w:val="1"/>
          <w:sz w:val="24"/>
          <w:szCs w:val="24"/>
          <w:lang w:val="az-Latn-AZ"/>
        </w:rPr>
        <w:t>etməlidir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9"/>
        <w:jc w:val="center"/>
        <w:rPr>
          <w:rFonts w:ascii="Times New Roman" w:hAnsi="Times New Roman"/>
          <w:color w:val="000000"/>
          <w:sz w:val="24"/>
          <w:szCs w:val="24"/>
          <w:lang w:val="az-Latn-AZ"/>
        </w:rPr>
      </w:pPr>
      <w:r w:rsidRPr="009C2EF2">
        <w:rPr>
          <w:rFonts w:ascii="Times New Roman" w:hAnsi="Times New Roman"/>
          <w:color w:val="231F20"/>
          <w:spacing w:val="-5"/>
          <w:sz w:val="24"/>
          <w:szCs w:val="24"/>
          <w:lang w:val="az-Latn-AZ"/>
        </w:rPr>
        <w:t>14</w:t>
      </w:r>
    </w:p>
    <w:p w:rsidR="00D02DD9" w:rsidRPr="009C2EF2" w:rsidRDefault="00D02DD9">
      <w:pPr>
        <w:pStyle w:val="a3"/>
        <w:kinsoku w:val="0"/>
        <w:overflowPunct w:val="0"/>
        <w:spacing w:before="80"/>
        <w:ind w:left="29"/>
        <w:jc w:val="center"/>
        <w:rPr>
          <w:rFonts w:ascii="Times New Roman" w:hAnsi="Times New Roman"/>
          <w:color w:val="000000"/>
          <w:sz w:val="24"/>
          <w:szCs w:val="24"/>
          <w:lang w:val="az-Latn-AZ"/>
        </w:rPr>
        <w:sectPr w:rsidR="00D02DD9" w:rsidRPr="009C2EF2">
          <w:footerReference w:type="default" r:id="rId20"/>
          <w:pgSz w:w="8850" w:h="13270"/>
          <w:pgMar w:top="0" w:right="200" w:bottom="0" w:left="0" w:header="0" w:footer="0" w:gutter="0"/>
          <w:cols w:space="720" w:equalWidth="0">
            <w:col w:w="86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1040" behindDoc="1" locked="0" layoutInCell="0" allowOverlap="1">
                <wp:simplePos x="0" y="0"/>
                <wp:positionH relativeFrom="page">
                  <wp:posOffset>5183505</wp:posOffset>
                </wp:positionH>
                <wp:positionV relativeFrom="page">
                  <wp:posOffset>0</wp:posOffset>
                </wp:positionV>
                <wp:extent cx="431800" cy="8423910"/>
                <wp:effectExtent l="0" t="0" r="0" b="0"/>
                <wp:wrapNone/>
                <wp:docPr id="22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8E5702" id="Freeform 44" o:spid="_x0000_s1026" style="position:absolute;margin-left:408.15pt;margin-top:0;width:34pt;height:663.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Heading41"/>
        <w:numPr>
          <w:ilvl w:val="0"/>
          <w:numId w:val="102"/>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Hesabatları</w:t>
      </w:r>
    </w:p>
    <w:p w:rsidR="00D02DD9" w:rsidRPr="009C2EF2" w:rsidRDefault="003C64E0" w:rsidP="007562F0">
      <w:pPr>
        <w:pStyle w:val="a3"/>
        <w:numPr>
          <w:ilvl w:val="1"/>
          <w:numId w:val="102"/>
        </w:numPr>
        <w:tabs>
          <w:tab w:val="left" w:pos="681"/>
        </w:tabs>
        <w:kinsoku w:val="0"/>
        <w:overflowPunct w:val="0"/>
        <w:spacing w:before="9"/>
        <w:ind w:left="680" w:right="63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Hesabat</w:t>
      </w:r>
      <w:r w:rsidR="007562F0"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qiymətləndirilməsi ilə bağlı tapşırığın n</w:t>
      </w:r>
      <w:r w:rsidR="007562F0" w:rsidRPr="009C2EF2">
        <w:rPr>
          <w:rFonts w:ascii="Times New Roman" w:hAnsi="Times New Roman"/>
          <w:color w:val="231F20"/>
          <w:sz w:val="24"/>
          <w:szCs w:val="24"/>
          <w:lang w:val="az-Latn-AZ"/>
        </w:rPr>
        <w:t>əticəsi olduqda, hesabat minimum səviyyədə</w:t>
      </w:r>
      <w:r w:rsidRPr="009C2EF2">
        <w:rPr>
          <w:rFonts w:ascii="Times New Roman" w:hAnsi="Times New Roman"/>
          <w:color w:val="231F20"/>
          <w:sz w:val="24"/>
          <w:szCs w:val="24"/>
          <w:lang w:val="az-Latn-AZ"/>
        </w:rPr>
        <w:t xml:space="preserve"> aşağıdakılar</w:t>
      </w:r>
      <w:r w:rsidR="007562F0" w:rsidRPr="009C2EF2">
        <w:rPr>
          <w:rFonts w:ascii="Times New Roman" w:hAnsi="Times New Roman"/>
          <w:color w:val="231F20"/>
          <w:sz w:val="24"/>
          <w:szCs w:val="24"/>
          <w:lang w:val="az-Latn-AZ"/>
        </w:rPr>
        <w:t>ı</w:t>
      </w:r>
      <w:r w:rsidRPr="009C2EF2">
        <w:rPr>
          <w:rFonts w:ascii="Times New Roman" w:hAnsi="Times New Roman"/>
          <w:color w:val="231F20"/>
          <w:sz w:val="24"/>
          <w:szCs w:val="24"/>
          <w:lang w:val="az-Latn-AZ"/>
        </w:rPr>
        <w:t xml:space="preserve"> nəzərdə </w:t>
      </w:r>
      <w:r w:rsidRPr="009C2EF2">
        <w:rPr>
          <w:rFonts w:ascii="Times New Roman" w:hAnsi="Times New Roman"/>
          <w:i/>
          <w:color w:val="231F20"/>
          <w:sz w:val="24"/>
          <w:szCs w:val="24"/>
          <w:lang w:val="az-Latn-AZ"/>
        </w:rPr>
        <w:t>tutulmalıdır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icra edilmiş işin əhatə dairəsi, o cümlədən</w:t>
      </w:r>
      <w:r w:rsidR="007562F0" w:rsidRPr="009C2EF2">
        <w:rPr>
          <w:rFonts w:ascii="Times New Roman" w:hAnsi="Times New Roman"/>
          <w:color w:val="231F20"/>
          <w:sz w:val="24"/>
          <w:szCs w:val="24"/>
          <w:lang w:val="az-Latn-AZ"/>
        </w:rPr>
        <w:t>,</w:t>
      </w:r>
    </w:p>
    <w:p w:rsidR="00D02DD9" w:rsidRPr="009C2EF2" w:rsidRDefault="003C64E0">
      <w:pPr>
        <w:pStyle w:val="a3"/>
        <w:kinsoku w:val="0"/>
        <w:overflowPunct w:val="0"/>
        <w:spacing w:before="9"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standartının 20.3-cü bəndində qeyd olunmuş elementlər (tapşırığa aid olduğu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qəbul edilmiş yanaşma və ya yanaşmalar,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tətbiq edilmiş metod və ya metodlar,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istifadə edilmiş əsas ilkin məlumatlar,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2"/>
        </w:numPr>
        <w:tabs>
          <w:tab w:val="left" w:pos="1015"/>
        </w:tabs>
        <w:kinsoku w:val="0"/>
        <w:overflowPunct w:val="0"/>
        <w:ind w:left="1014" w:hanging="334"/>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ehtimallar,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2"/>
        </w:numPr>
        <w:tabs>
          <w:tab w:val="left" w:pos="965"/>
        </w:tabs>
        <w:kinsoku w:val="0"/>
        <w:overflowPunct w:val="0"/>
        <w:spacing w:line="250" w:lineRule="auto"/>
        <w:ind w:left="964"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dəyərin nəticəsi/nəticələri və əldə olunmuş nəticələrin əsas qayəsi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10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3280" behindDoc="0" locked="0" layoutInCell="0" allowOverlap="1">
                <wp:simplePos x="0" y="0"/>
                <wp:positionH relativeFrom="page">
                  <wp:posOffset>5276215</wp:posOffset>
                </wp:positionH>
                <wp:positionV relativeFrom="paragraph">
                  <wp:posOffset>12065</wp:posOffset>
                </wp:positionV>
                <wp:extent cx="152400" cy="2419985"/>
                <wp:effectExtent l="0" t="0" r="0" b="0"/>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103 Hesabat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415.45pt;margin-top:.95pt;width:12pt;height:190.5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103 Hesabat</w:t>
                      </w:r>
                    </w:p>
                  </w:txbxContent>
                </v:textbox>
                <w10:wrap anchorx="page"/>
              </v:shape>
            </w:pict>
          </mc:Fallback>
        </mc:AlternateContent>
      </w:r>
      <w:r w:rsidR="003C64E0" w:rsidRPr="009C2EF2">
        <w:rPr>
          <w:rFonts w:ascii="Times New Roman" w:hAnsi="Times New Roman"/>
          <w:color w:val="231F20"/>
          <w:sz w:val="24"/>
          <w:szCs w:val="24"/>
          <w:lang w:val="az-Latn-AZ"/>
        </w:rPr>
        <w:t xml:space="preserve">hesabatın tarixi (bu qiymətləndirmə tarixi ilə üst-üstə düşməyə </w:t>
      </w:r>
      <w:r w:rsidR="003C64E0" w:rsidRPr="009C2EF2">
        <w:rPr>
          <w:rFonts w:ascii="Times New Roman" w:hAnsi="Times New Roman"/>
          <w:i/>
          <w:color w:val="231F20"/>
          <w:spacing w:val="-1"/>
          <w:sz w:val="24"/>
          <w:szCs w:val="24"/>
          <w:lang w:val="az-Latn-AZ"/>
        </w:rPr>
        <w:t>bilər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102"/>
        </w:numPr>
        <w:tabs>
          <w:tab w:val="left" w:pos="681"/>
        </w:tabs>
        <w:kinsoku w:val="0"/>
        <w:overflowPunct w:val="0"/>
        <w:spacing w:line="250" w:lineRule="auto"/>
        <w:ind w:left="680" w:right="152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Yuxarıda göstərilən tələblərdən bəziləri hesabatda ya birbaşa ya da digər sənədlərə (təyinat məktubu, işin əhatə dairəsi ilə bağlı sənədlər, daxili siyasət və proseduralar və s.) istinad etməklə verilə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01"/>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üzrə İcmal Hesabat</w:t>
      </w:r>
    </w:p>
    <w:p w:rsidR="00D02DD9" w:rsidRPr="009C2EF2" w:rsidRDefault="003C64E0">
      <w:pPr>
        <w:pStyle w:val="a3"/>
        <w:numPr>
          <w:ilvl w:val="1"/>
          <w:numId w:val="101"/>
        </w:numPr>
        <w:tabs>
          <w:tab w:val="left" w:pos="681"/>
        </w:tabs>
        <w:kinsoku w:val="0"/>
        <w:overflowPunct w:val="0"/>
        <w:spacing w:before="122" w:line="250" w:lineRule="auto"/>
        <w:ind w:left="680"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Hesabat qiymətləndirmə xülasəsinin nəticəsi olduqda, hesa</w:t>
      </w:r>
      <w:r w:rsidR="007562F0" w:rsidRPr="009C2EF2">
        <w:rPr>
          <w:rFonts w:ascii="Times New Roman" w:hAnsi="Times New Roman"/>
          <w:color w:val="231F20"/>
          <w:spacing w:val="1"/>
          <w:sz w:val="24"/>
          <w:szCs w:val="24"/>
          <w:lang w:val="az-Latn-AZ"/>
        </w:rPr>
        <w:t xml:space="preserve">bat minimum səviyyədə </w:t>
      </w:r>
      <w:r w:rsidRPr="009C2EF2">
        <w:rPr>
          <w:rFonts w:ascii="Times New Roman" w:hAnsi="Times New Roman"/>
          <w:color w:val="231F20"/>
          <w:spacing w:val="1"/>
          <w:sz w:val="24"/>
          <w:szCs w:val="24"/>
          <w:lang w:val="az-Latn-AZ"/>
        </w:rPr>
        <w:t>aşağıdakılar</w:t>
      </w:r>
      <w:r w:rsidR="007562F0" w:rsidRPr="009C2EF2">
        <w:rPr>
          <w:rFonts w:ascii="Times New Roman" w:hAnsi="Times New Roman"/>
          <w:color w:val="231F20"/>
          <w:spacing w:val="1"/>
          <w:sz w:val="24"/>
          <w:szCs w:val="24"/>
          <w:lang w:val="az-Latn-AZ"/>
        </w:rPr>
        <w:t>ı</w:t>
      </w:r>
      <w:r w:rsidRPr="009C2EF2">
        <w:rPr>
          <w:rFonts w:ascii="Times New Roman" w:hAnsi="Times New Roman"/>
          <w:color w:val="231F20"/>
          <w:spacing w:val="1"/>
          <w:sz w:val="24"/>
          <w:szCs w:val="24"/>
          <w:lang w:val="az-Latn-AZ"/>
        </w:rPr>
        <w:t xml:space="preserve"> nəzərdə </w:t>
      </w:r>
      <w:r w:rsidRPr="009C2EF2">
        <w:rPr>
          <w:rFonts w:ascii="Times New Roman" w:hAnsi="Times New Roman"/>
          <w:i/>
          <w:color w:val="231F20"/>
          <w:sz w:val="24"/>
          <w:szCs w:val="24"/>
          <w:lang w:val="az-Latn-AZ"/>
        </w:rPr>
        <w:t>tutulmalıdır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1"/>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verilmiş xülasənin əhatə dairəsi, o cümlədən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standartının 20.3-cü bəndində qeyd olunmuş elementlər (tapşırığa aid olduğu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1"/>
        </w:numPr>
        <w:tabs>
          <w:tab w:val="left" w:pos="965"/>
        </w:tabs>
        <w:kinsoku w:val="0"/>
        <w:overflowPunct w:val="0"/>
        <w:spacing w:line="250" w:lineRule="auto"/>
        <w:ind w:left="964"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nəzərdən keçiriləcək qiymətləndirmə hesabatı və qiymətləndirmənin əsaslandığı ilkin məlumatlar və ehtimallar,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1"/>
        </w:numPr>
        <w:tabs>
          <w:tab w:val="left" w:pos="965"/>
        </w:tabs>
        <w:kinsoku w:val="0"/>
        <w:overflowPunct w:val="0"/>
        <w:spacing w:line="250" w:lineRule="auto"/>
        <w:ind w:left="964" w:right="15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rəyçinin iş üzrə gəldiyi qənaət, göstərdiyi səbəblər və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hesabatın tarixi (bu qiymətləndirmə tarixi ilə üst-üstə düşməyə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101"/>
        </w:numPr>
        <w:tabs>
          <w:tab w:val="left" w:pos="681"/>
        </w:tabs>
        <w:kinsoku w:val="0"/>
        <w:overflowPunct w:val="0"/>
        <w:spacing w:line="250" w:lineRule="auto"/>
        <w:ind w:left="680" w:right="14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 Yuxarıda göstərilən tələblərdən bəziləri hesabatda ya birbaşa ya da digər sənədlərə (təyinat məktubu, işin əhatə dairəsi ilə bağlı sənədlər, daxili siyasət və proseduralar və s.) istinad etmək yolu ilə verilə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ind w:left="2871" w:right="3725"/>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15</w:t>
      </w:r>
    </w:p>
    <w:p w:rsidR="00D02DD9" w:rsidRPr="009C2EF2" w:rsidRDefault="00D02DD9">
      <w:pPr>
        <w:pStyle w:val="a3"/>
        <w:kinsoku w:val="0"/>
        <w:overflowPunct w:val="0"/>
        <w:ind w:left="2871" w:right="3725"/>
        <w:jc w:val="center"/>
        <w:rPr>
          <w:rFonts w:ascii="Times New Roman" w:hAnsi="Times New Roman"/>
          <w:color w:val="000000"/>
          <w:sz w:val="24"/>
          <w:szCs w:val="24"/>
          <w:lang w:val="az-Latn-AZ"/>
        </w:rPr>
        <w:sectPr w:rsidR="00D02DD9" w:rsidRPr="009C2EF2">
          <w:footerReference w:type="default" r:id="rId2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3088" behindDoc="1" locked="0" layoutInCell="0" allowOverlap="1">
                <wp:simplePos x="0" y="0"/>
                <wp:positionH relativeFrom="page">
                  <wp:posOffset>0</wp:posOffset>
                </wp:positionH>
                <wp:positionV relativeFrom="page">
                  <wp:posOffset>0</wp:posOffset>
                </wp:positionV>
                <wp:extent cx="432435" cy="8424545"/>
                <wp:effectExtent l="0" t="0" r="0" b="0"/>
                <wp:wrapNone/>
                <wp:docPr id="22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898C8E" id="Freeform 46" o:spid="_x0000_s1026" style="position:absolute;margin-left:0;margin-top:0;width:34.05pt;height:663.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BQvon2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bookmarkStart w:id="7" w:name="bookmark6"/>
      <w:bookmarkEnd w:id="7"/>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7"/>
        <w:ind w:left="0"/>
        <w:rPr>
          <w:rFonts w:ascii="Times New Roman" w:hAnsi="Times New Roman"/>
          <w:i/>
          <w:sz w:val="24"/>
          <w:szCs w:val="24"/>
          <w:lang w:val="az-Latn-AZ"/>
        </w:rPr>
      </w:pPr>
    </w:p>
    <w:p w:rsidR="00D02DD9" w:rsidRPr="009C2EF2" w:rsidRDefault="0075026C">
      <w:pPr>
        <w:pStyle w:val="Heading21"/>
        <w:kinsoku w:val="0"/>
        <w:overflowPunct w:val="0"/>
        <w:ind w:left="963"/>
        <w:outlineLvl w:val="9"/>
        <w:rPr>
          <w:rFonts w:ascii="Times New Roman" w:hAnsi="Times New Roman"/>
          <w:b w:val="0"/>
          <w:color w:val="000000"/>
          <w:szCs w:val="24"/>
          <w:lang w:val="az-Latn-AZ"/>
        </w:rPr>
      </w:pPr>
      <w:r w:rsidRPr="009C2EF2">
        <w:rPr>
          <w:rFonts w:ascii="Times New Roman" w:hAnsi="Times New Roman"/>
          <w:b w:val="0"/>
          <w:i/>
          <w:noProof/>
          <w:szCs w:val="24"/>
          <w:lang w:val="ru-RU" w:eastAsia="ru-RU"/>
        </w:rPr>
        <mc:AlternateContent>
          <mc:Choice Requires="wpg">
            <w:drawing>
              <wp:anchor distT="0" distB="0" distL="114300" distR="114300" simplePos="0" relativeHeight="251672064" behindDoc="1" locked="0" layoutInCell="0" allowOverlap="1">
                <wp:simplePos x="0" y="0"/>
                <wp:positionH relativeFrom="page">
                  <wp:posOffset>611505</wp:posOffset>
                </wp:positionH>
                <wp:positionV relativeFrom="paragraph">
                  <wp:posOffset>318770</wp:posOffset>
                </wp:positionV>
                <wp:extent cx="4284345" cy="4617085"/>
                <wp:effectExtent l="0" t="0" r="0" b="0"/>
                <wp:wrapNone/>
                <wp:docPr id="2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4617085"/>
                          <a:chOff x="963" y="502"/>
                          <a:chExt cx="6747" cy="7271"/>
                        </a:xfrm>
                      </wpg:grpSpPr>
                      <wps:wsp>
                        <wps:cNvPr id="219" name="Freeform 48"/>
                        <wps:cNvSpPr>
                          <a:spLocks/>
                        </wps:cNvSpPr>
                        <wps:spPr bwMode="auto">
                          <a:xfrm>
                            <a:off x="963" y="502"/>
                            <a:ext cx="6747" cy="7271"/>
                          </a:xfrm>
                          <a:custGeom>
                            <a:avLst/>
                            <a:gdLst>
                              <a:gd name="T0" fmla="*/ 0 w 6747"/>
                              <a:gd name="T1" fmla="*/ 7270 h 7271"/>
                              <a:gd name="T2" fmla="*/ 6746 w 6747"/>
                              <a:gd name="T3" fmla="*/ 7270 h 7271"/>
                              <a:gd name="T4" fmla="*/ 6746 w 6747"/>
                              <a:gd name="T5" fmla="*/ 0 h 7271"/>
                              <a:gd name="T6" fmla="*/ 0 w 6747"/>
                              <a:gd name="T7" fmla="*/ 0 h 7271"/>
                              <a:gd name="T8" fmla="*/ 0 w 6747"/>
                              <a:gd name="T9" fmla="*/ 7270 h 7271"/>
                            </a:gdLst>
                            <a:ahLst/>
                            <a:cxnLst>
                              <a:cxn ang="0">
                                <a:pos x="T0" y="T1"/>
                              </a:cxn>
                              <a:cxn ang="0">
                                <a:pos x="T2" y="T3"/>
                              </a:cxn>
                              <a:cxn ang="0">
                                <a:pos x="T4" y="T5"/>
                              </a:cxn>
                              <a:cxn ang="0">
                                <a:pos x="T6" y="T7"/>
                              </a:cxn>
                              <a:cxn ang="0">
                                <a:pos x="T8" y="T9"/>
                              </a:cxn>
                            </a:cxnLst>
                            <a:rect l="0" t="0" r="r" b="b"/>
                            <a:pathLst>
                              <a:path w="6747" h="7271">
                                <a:moveTo>
                                  <a:pt x="0" y="7270"/>
                                </a:moveTo>
                                <a:lnTo>
                                  <a:pt x="6746" y="7270"/>
                                </a:lnTo>
                                <a:lnTo>
                                  <a:pt x="6746" y="0"/>
                                </a:lnTo>
                                <a:lnTo>
                                  <a:pt x="0" y="0"/>
                                </a:lnTo>
                                <a:lnTo>
                                  <a:pt x="0" y="72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9"/>
                        <wps:cNvSpPr txBox="1">
                          <a:spLocks noChangeArrowheads="1"/>
                        </wps:cNvSpPr>
                        <wps:spPr bwMode="auto">
                          <a:xfrm>
                            <a:off x="1247" y="3431"/>
                            <a:ext cx="5533" cy="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184" w:lineRule="exact"/>
                                <w:ind w:left="0"/>
                                <w:rPr>
                                  <w:color w:val="000000"/>
                                  <w:szCs w:val="24"/>
                                </w:rPr>
                              </w:pPr>
                              <w:r>
                                <w:rPr>
                                  <w:color w:val="231F20"/>
                                  <w:szCs w:val="24"/>
                                  <w:lang w:val="az-Latn-AZ"/>
                                </w:rPr>
                                <w:t>(Maliyyə Hesabatlarının Beynəlxalq Standartları)</w:t>
                              </w:r>
                            </w:p>
                            <w:p w:rsidR="0072444D" w:rsidRDefault="0072444D">
                              <w:pPr>
                                <w:pStyle w:val="a3"/>
                                <w:kinsoku w:val="0"/>
                                <w:overflowPunct w:val="0"/>
                                <w:spacing w:before="65"/>
                                <w:ind w:left="0"/>
                                <w:rPr>
                                  <w:color w:val="000000"/>
                                  <w:szCs w:val="24"/>
                                </w:rPr>
                              </w:pPr>
                              <w:r>
                                <w:rPr>
                                  <w:color w:val="231F20"/>
                                  <w:spacing w:val="1"/>
                                  <w:szCs w:val="24"/>
                                  <w:lang w:val="az-Latn-AZ"/>
                                </w:rPr>
                                <w:t>Digər Dəyər Bazaları – Ədalətli Bazar Dəyəri</w:t>
                              </w:r>
                            </w:p>
                            <w:p w:rsidR="0072444D" w:rsidRDefault="0072444D">
                              <w:pPr>
                                <w:pStyle w:val="a3"/>
                                <w:kinsoku w:val="0"/>
                                <w:overflowPunct w:val="0"/>
                                <w:spacing w:before="9"/>
                                <w:ind w:left="0"/>
                                <w:rPr>
                                  <w:color w:val="000000"/>
                                  <w:szCs w:val="24"/>
                                </w:rPr>
                              </w:pPr>
                              <w:r>
                                <w:rPr>
                                  <w:color w:val="231F20"/>
                                  <w:szCs w:val="24"/>
                                  <w:lang w:val="az-Latn-AZ"/>
                                </w:rPr>
                                <w:t>(İqtisadi Əməkdaşlıq və İnkişaf Təşkilatı (İƏİT))</w:t>
                              </w:r>
                            </w:p>
                            <w:p w:rsidR="0072444D" w:rsidRDefault="0072444D">
                              <w:pPr>
                                <w:pStyle w:val="a3"/>
                                <w:kinsoku w:val="0"/>
                                <w:overflowPunct w:val="0"/>
                                <w:spacing w:before="65" w:line="250" w:lineRule="auto"/>
                                <w:ind w:left="0" w:right="2232"/>
                                <w:rPr>
                                  <w:color w:val="000000"/>
                                  <w:szCs w:val="24"/>
                                </w:rPr>
                              </w:pPr>
                              <w:r>
                                <w:rPr>
                                  <w:color w:val="231F20"/>
                                  <w:spacing w:val="1"/>
                                  <w:szCs w:val="24"/>
                                  <w:lang w:val="az-Latn-AZ"/>
                                </w:rPr>
                                <w:t>Digər Dəyər Bazaları – Ədalətli Bazar Dəyəri (Birləşmiş Ştatlar Daxili Gəlir Xidməti)</w:t>
                              </w:r>
                            </w:p>
                            <w:p w:rsidR="0072444D" w:rsidRDefault="0072444D">
                              <w:pPr>
                                <w:pStyle w:val="a3"/>
                                <w:kinsoku w:val="0"/>
                                <w:overflowPunct w:val="0"/>
                                <w:spacing w:before="57" w:line="250" w:lineRule="auto"/>
                                <w:ind w:left="0" w:right="1454"/>
                                <w:rPr>
                                  <w:color w:val="000000"/>
                                  <w:szCs w:val="24"/>
                                </w:rPr>
                              </w:pPr>
                              <w:r>
                                <w:rPr>
                                  <w:color w:val="231F20"/>
                                  <w:spacing w:val="1"/>
                                  <w:szCs w:val="24"/>
                                  <w:lang w:val="az-Latn-AZ"/>
                                </w:rPr>
                                <w:t>Müxtəlif yurisdiksiyalar əsasında Digər Dəyər Bazaları – Ədalətli Bazar Dəyəri</w:t>
                              </w:r>
                            </w:p>
                            <w:p w:rsidR="0072444D" w:rsidRDefault="0072444D">
                              <w:pPr>
                                <w:pStyle w:val="a3"/>
                                <w:kinsoku w:val="0"/>
                                <w:overflowPunct w:val="0"/>
                                <w:spacing w:before="57"/>
                                <w:ind w:left="0"/>
                                <w:rPr>
                                  <w:color w:val="000000"/>
                                  <w:szCs w:val="24"/>
                                </w:rPr>
                              </w:pPr>
                              <w:r>
                                <w:rPr>
                                  <w:color w:val="231F20"/>
                                  <w:szCs w:val="24"/>
                                  <w:lang w:val="az-Latn-AZ"/>
                                </w:rPr>
                                <w:t>Dəyərləndirmə şərtləri/Təxmin edilmiş İstifadə</w:t>
                              </w:r>
                            </w:p>
                            <w:p w:rsidR="0072444D" w:rsidRDefault="0072444D">
                              <w:pPr>
                                <w:pStyle w:val="a3"/>
                                <w:kinsoku w:val="0"/>
                                <w:overflowPunct w:val="0"/>
                                <w:spacing w:before="65" w:line="316" w:lineRule="auto"/>
                                <w:ind w:left="0" w:right="1906"/>
                                <w:rPr>
                                  <w:color w:val="000000"/>
                                  <w:szCs w:val="24"/>
                                </w:rPr>
                              </w:pPr>
                              <w:r>
                                <w:rPr>
                                  <w:color w:val="231F20"/>
                                  <w:szCs w:val="24"/>
                                  <w:lang w:val="az-Latn-AZ"/>
                                </w:rPr>
                                <w:t>Dəyərləndirmə Şərtləri – Ən Yaxşı və Səmərəli İstifadə Dəyərləndirmə Şərtləri – Cari/Mövcud İstifadə Dəyərləndirmə Şərtləri – Nizamlı Ləğvetmə Dəyərləndirmə Şərtləri – Məcburi Satış</w:t>
                              </w:r>
                            </w:p>
                            <w:p w:rsidR="0072444D" w:rsidRDefault="0072444D">
                              <w:pPr>
                                <w:pStyle w:val="a3"/>
                                <w:kinsoku w:val="0"/>
                                <w:overflowPunct w:val="0"/>
                                <w:spacing w:before="2" w:line="316" w:lineRule="auto"/>
                                <w:ind w:left="0" w:right="3704"/>
                                <w:rPr>
                                  <w:color w:val="000000"/>
                                  <w:szCs w:val="24"/>
                                </w:rPr>
                              </w:pPr>
                              <w:r>
                                <w:rPr>
                                  <w:color w:val="231F20"/>
                                  <w:spacing w:val="1"/>
                                  <w:szCs w:val="24"/>
                                  <w:lang w:val="az-Latn-AZ"/>
                                </w:rPr>
                                <w:t>Müəssisəyə xas Amillərin Sinerjisi</w:t>
                              </w:r>
                            </w:p>
                            <w:p w:rsidR="0072444D" w:rsidRDefault="0072444D">
                              <w:pPr>
                                <w:pStyle w:val="a3"/>
                                <w:kinsoku w:val="0"/>
                                <w:overflowPunct w:val="0"/>
                                <w:spacing w:before="2"/>
                                <w:ind w:left="0"/>
                                <w:rPr>
                                  <w:color w:val="000000"/>
                                  <w:szCs w:val="24"/>
                                </w:rPr>
                              </w:pPr>
                              <w:r>
                                <w:rPr>
                                  <w:color w:val="231F20"/>
                                  <w:szCs w:val="24"/>
                                  <w:lang w:val="az-Latn-AZ"/>
                                </w:rPr>
                                <w:t>Ehtimallar və Xüsusi Ehtimallar</w:t>
                              </w:r>
                            </w:p>
                            <w:p w:rsidR="0072444D" w:rsidRDefault="0072444D">
                              <w:pPr>
                                <w:pStyle w:val="a3"/>
                                <w:kinsoku w:val="0"/>
                                <w:overflowPunct w:val="0"/>
                                <w:spacing w:before="65" w:line="203" w:lineRule="exact"/>
                                <w:ind w:left="0"/>
                                <w:rPr>
                                  <w:color w:val="000000"/>
                                  <w:szCs w:val="24"/>
                                </w:rPr>
                              </w:pPr>
                              <w:r>
                                <w:rPr>
                                  <w:color w:val="231F20"/>
                                  <w:spacing w:val="-1"/>
                                  <w:szCs w:val="24"/>
                                  <w:lang w:val="az-Latn-AZ"/>
                                </w:rPr>
                                <w:t>Əməliyyat Xərcləri</w:t>
                              </w:r>
                            </w:p>
                          </w:txbxContent>
                        </wps:txbx>
                        <wps:bodyPr rot="0" vert="horz" wrap="square" lIns="0" tIns="0" rIns="0" bIns="0" anchor="t" anchorCtr="0" upright="1">
                          <a:noAutofit/>
                        </wps:bodyPr>
                      </wps:wsp>
                      <wps:wsp>
                        <wps:cNvPr id="221" name="Text Box 50"/>
                        <wps:cNvSpPr txBox="1">
                          <a:spLocks noChangeArrowheads="1"/>
                        </wps:cNvSpPr>
                        <wps:spPr bwMode="auto">
                          <a:xfrm>
                            <a:off x="7221" y="3431"/>
                            <a:ext cx="2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180" w:lineRule="exact"/>
                                <w:ind w:left="0"/>
                                <w:rPr>
                                  <w:color w:val="000000"/>
                                  <w:szCs w:val="24"/>
                                </w:rPr>
                              </w:pPr>
                              <w:r>
                                <w:rPr>
                                  <w:color w:val="231F20"/>
                                  <w:spacing w:val="2"/>
                                  <w:szCs w:val="24"/>
                                  <w:lang w:val="az-Latn-AZ"/>
                                </w:rPr>
                                <w:t>90</w:t>
                              </w:r>
                            </w:p>
                          </w:txbxContent>
                        </wps:txbx>
                        <wps:bodyPr rot="0" vert="horz" wrap="square" lIns="0" tIns="0" rIns="0" bIns="0" anchor="t" anchorCtr="0" upright="1">
                          <a:noAutofit/>
                        </wps:bodyPr>
                      </wps:wsp>
                      <wps:wsp>
                        <wps:cNvPr id="222" name="Text Box 51"/>
                        <wps:cNvSpPr txBox="1">
                          <a:spLocks noChangeArrowheads="1"/>
                        </wps:cNvSpPr>
                        <wps:spPr bwMode="auto">
                          <a:xfrm>
                            <a:off x="7120" y="3920"/>
                            <a:ext cx="308" cy="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184" w:lineRule="exact"/>
                                <w:ind w:left="5"/>
                                <w:rPr>
                                  <w:color w:val="000000"/>
                                  <w:szCs w:val="24"/>
                                </w:rPr>
                              </w:pPr>
                              <w:r>
                                <w:rPr>
                                  <w:color w:val="231F20"/>
                                  <w:szCs w:val="24"/>
                                  <w:lang w:val="az-Latn-AZ"/>
                                </w:rPr>
                                <w:t>100</w:t>
                              </w:r>
                            </w:p>
                            <w:p w:rsidR="0072444D" w:rsidRDefault="0072444D">
                              <w:pPr>
                                <w:pStyle w:val="a3"/>
                                <w:kinsoku w:val="0"/>
                                <w:overflowPunct w:val="0"/>
                                <w:spacing w:before="6"/>
                                <w:ind w:left="0"/>
                                <w:rPr>
                                  <w:sz w:val="24"/>
                                  <w:szCs w:val="24"/>
                                </w:rPr>
                              </w:pPr>
                            </w:p>
                            <w:p w:rsidR="0072444D" w:rsidRDefault="0072444D">
                              <w:pPr>
                                <w:pStyle w:val="a3"/>
                                <w:kinsoku w:val="0"/>
                                <w:overflowPunct w:val="0"/>
                                <w:ind w:left="25"/>
                                <w:rPr>
                                  <w:color w:val="000000"/>
                                  <w:szCs w:val="24"/>
                                </w:rPr>
                              </w:pPr>
                              <w:r>
                                <w:rPr>
                                  <w:color w:val="231F20"/>
                                  <w:spacing w:val="-7"/>
                                  <w:szCs w:val="24"/>
                                  <w:lang w:val="az-Latn-AZ"/>
                                </w:rPr>
                                <w:t>110</w:t>
                              </w:r>
                            </w:p>
                            <w:p w:rsidR="0072444D" w:rsidRDefault="0072444D">
                              <w:pPr>
                                <w:pStyle w:val="a3"/>
                                <w:kinsoku w:val="0"/>
                                <w:overflowPunct w:val="0"/>
                                <w:spacing w:before="6"/>
                                <w:ind w:left="0"/>
                                <w:rPr>
                                  <w:sz w:val="24"/>
                                  <w:szCs w:val="24"/>
                                </w:rPr>
                              </w:pPr>
                            </w:p>
                            <w:p w:rsidR="0072444D" w:rsidRDefault="0072444D">
                              <w:pPr>
                                <w:pStyle w:val="a3"/>
                                <w:kinsoku w:val="0"/>
                                <w:overflowPunct w:val="0"/>
                                <w:ind w:left="12"/>
                                <w:rPr>
                                  <w:color w:val="000000"/>
                                  <w:szCs w:val="24"/>
                                </w:rPr>
                              </w:pPr>
                              <w:r>
                                <w:rPr>
                                  <w:color w:val="231F20"/>
                                  <w:spacing w:val="-2"/>
                                  <w:szCs w:val="24"/>
                                  <w:lang w:val="az-Latn-AZ"/>
                                </w:rPr>
                                <w:t>120</w:t>
                              </w:r>
                            </w:p>
                            <w:p w:rsidR="0072444D" w:rsidRDefault="0072444D">
                              <w:pPr>
                                <w:pStyle w:val="a3"/>
                                <w:kinsoku w:val="0"/>
                                <w:overflowPunct w:val="0"/>
                                <w:spacing w:before="65"/>
                                <w:ind w:left="10"/>
                                <w:rPr>
                                  <w:color w:val="000000"/>
                                  <w:szCs w:val="24"/>
                                </w:rPr>
                              </w:pPr>
                              <w:r>
                                <w:rPr>
                                  <w:color w:val="231F20"/>
                                  <w:spacing w:val="-2"/>
                                  <w:szCs w:val="24"/>
                                  <w:lang w:val="az-Latn-AZ"/>
                                </w:rPr>
                                <w:t>130</w:t>
                              </w:r>
                            </w:p>
                            <w:p w:rsidR="0072444D" w:rsidRDefault="0072444D">
                              <w:pPr>
                                <w:pStyle w:val="a3"/>
                                <w:kinsoku w:val="0"/>
                                <w:overflowPunct w:val="0"/>
                                <w:spacing w:before="65"/>
                                <w:ind w:left="10"/>
                                <w:rPr>
                                  <w:color w:val="000000"/>
                                  <w:szCs w:val="24"/>
                                </w:rPr>
                              </w:pPr>
                              <w:r>
                                <w:rPr>
                                  <w:color w:val="231F20"/>
                                  <w:spacing w:val="-2"/>
                                  <w:szCs w:val="24"/>
                                  <w:lang w:val="az-Latn-AZ"/>
                                </w:rPr>
                                <w:t>140</w:t>
                              </w:r>
                            </w:p>
                            <w:p w:rsidR="0072444D" w:rsidRDefault="0072444D">
                              <w:pPr>
                                <w:pStyle w:val="a3"/>
                                <w:kinsoku w:val="0"/>
                                <w:overflowPunct w:val="0"/>
                                <w:spacing w:before="65"/>
                                <w:ind w:left="9"/>
                                <w:rPr>
                                  <w:color w:val="000000"/>
                                  <w:szCs w:val="24"/>
                                </w:rPr>
                              </w:pPr>
                              <w:r>
                                <w:rPr>
                                  <w:color w:val="231F20"/>
                                  <w:spacing w:val="-6"/>
                                  <w:szCs w:val="24"/>
                                  <w:lang w:val="az-Latn-AZ"/>
                                </w:rPr>
                                <w:t>150</w:t>
                              </w:r>
                            </w:p>
                            <w:p w:rsidR="0072444D" w:rsidRDefault="0072444D">
                              <w:pPr>
                                <w:pStyle w:val="a3"/>
                                <w:kinsoku w:val="0"/>
                                <w:overflowPunct w:val="0"/>
                                <w:spacing w:before="65"/>
                                <w:ind w:left="6"/>
                                <w:rPr>
                                  <w:color w:val="000000"/>
                                  <w:szCs w:val="24"/>
                                </w:rPr>
                              </w:pPr>
                              <w:r>
                                <w:rPr>
                                  <w:color w:val="231F20"/>
                                  <w:spacing w:val="-1"/>
                                  <w:szCs w:val="24"/>
                                  <w:lang w:val="az-Latn-AZ"/>
                                </w:rPr>
                                <w:t>160</w:t>
                              </w:r>
                            </w:p>
                            <w:p w:rsidR="0072444D" w:rsidRDefault="0072444D">
                              <w:pPr>
                                <w:pStyle w:val="a3"/>
                                <w:kinsoku w:val="0"/>
                                <w:overflowPunct w:val="0"/>
                                <w:spacing w:before="65"/>
                                <w:ind w:left="17"/>
                                <w:rPr>
                                  <w:color w:val="000000"/>
                                  <w:szCs w:val="24"/>
                                </w:rPr>
                              </w:pPr>
                              <w:r>
                                <w:rPr>
                                  <w:color w:val="231F20"/>
                                  <w:spacing w:val="-4"/>
                                  <w:szCs w:val="24"/>
                                  <w:lang w:val="az-Latn-AZ"/>
                                </w:rPr>
                                <w:t>170</w:t>
                              </w:r>
                            </w:p>
                            <w:p w:rsidR="0072444D" w:rsidRDefault="0072444D">
                              <w:pPr>
                                <w:pStyle w:val="a3"/>
                                <w:kinsoku w:val="0"/>
                                <w:overflowPunct w:val="0"/>
                                <w:spacing w:before="65"/>
                                <w:ind w:left="8"/>
                                <w:rPr>
                                  <w:color w:val="000000"/>
                                  <w:szCs w:val="24"/>
                                </w:rPr>
                              </w:pPr>
                              <w:r>
                                <w:rPr>
                                  <w:color w:val="231F20"/>
                                  <w:spacing w:val="-1"/>
                                  <w:szCs w:val="24"/>
                                  <w:lang w:val="az-Latn-AZ"/>
                                </w:rPr>
                                <w:t>180</w:t>
                              </w:r>
                            </w:p>
                            <w:p w:rsidR="0072444D" w:rsidRDefault="0072444D">
                              <w:pPr>
                                <w:pStyle w:val="a3"/>
                                <w:kinsoku w:val="0"/>
                                <w:overflowPunct w:val="0"/>
                                <w:spacing w:before="65"/>
                                <w:ind w:left="6"/>
                                <w:rPr>
                                  <w:color w:val="000000"/>
                                  <w:szCs w:val="24"/>
                                </w:rPr>
                              </w:pPr>
                              <w:r>
                                <w:rPr>
                                  <w:color w:val="231F20"/>
                                  <w:spacing w:val="-1"/>
                                  <w:szCs w:val="24"/>
                                  <w:lang w:val="az-Latn-AZ"/>
                                </w:rPr>
                                <w:t>190</w:t>
                              </w:r>
                            </w:p>
                            <w:p w:rsidR="0072444D" w:rsidRDefault="0072444D">
                              <w:pPr>
                                <w:pStyle w:val="a3"/>
                                <w:kinsoku w:val="0"/>
                                <w:overflowPunct w:val="0"/>
                                <w:spacing w:before="65"/>
                                <w:ind w:left="0"/>
                                <w:rPr>
                                  <w:color w:val="000000"/>
                                  <w:szCs w:val="24"/>
                                </w:rPr>
                              </w:pPr>
                              <w:r>
                                <w:rPr>
                                  <w:color w:val="231F20"/>
                                  <w:spacing w:val="1"/>
                                  <w:szCs w:val="24"/>
                                  <w:lang w:val="az-Latn-AZ"/>
                                </w:rPr>
                                <w:t>200</w:t>
                              </w:r>
                            </w:p>
                            <w:p w:rsidR="0072444D" w:rsidRDefault="0072444D">
                              <w:pPr>
                                <w:pStyle w:val="a3"/>
                                <w:kinsoku w:val="0"/>
                                <w:overflowPunct w:val="0"/>
                                <w:spacing w:before="65" w:line="203" w:lineRule="exact"/>
                                <w:ind w:left="14"/>
                                <w:rPr>
                                  <w:color w:val="000000"/>
                                  <w:szCs w:val="24"/>
                                </w:rPr>
                              </w:pPr>
                              <w:r>
                                <w:rPr>
                                  <w:color w:val="231F20"/>
                                  <w:spacing w:val="-3"/>
                                  <w:szCs w:val="24"/>
                                  <w:lang w:val="az-Latn-AZ"/>
                                </w:rPr>
                                <w:t>210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0" style="position:absolute;left:0;text-align:left;margin-left:48.15pt;margin-top:25.1pt;width:337.35pt;height:363.55pt;z-index:-251644416;mso-position-horizontal-relative:page;mso-position-vertical-relative:text" coordorigin="963,502" coordsize="6747,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" o:allowincell="f">
                <v:shape id="Freeform 48" o:spid="_x0000_s1051" style="position:absolute;left:963;top:502;width:6747;height:7271;visibility:visible;mso-wrap-style:square;v-text-anchor:top" coordsize="6747,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PLscA&#10;AADcAAAADwAAAGRycy9kb3ducmV2LnhtbESPQWsCMRSE74L/ITyhN80qpbSrUay2VGkPrYrQ22Pz&#10;ulm7edkmUdd/3wiFHoeZ+YaZzFpbixP5UDlWMBxkIIgLpysuFey2z/17ECEia6wdk4ILBZhNu50J&#10;5tqd+YNOm1iKBOGQowITY5NLGQpDFsPANcTJ+3LeYkzSl1J7PCe4reUoy+6kxYrTgsGGFoaK783R&#10;Kog//vPt1ixf3vcX2bzuD7vHdfak1E2vnY9BRGrjf/ivvdIKRsMHuJ5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ajy7HAAAA3AAAAA8AAAAAAAAAAAAAAAAAmAIAAGRy&#10;cy9kb3ducmV2LnhtbFBLBQYAAAAABAAEAPUAAACMAwAAAAA=&#10;" path="m,7270r6746,l6746,,,,,7270xe" fillcolor="#e6e7e8" stroked="f">
                  <v:path arrowok="t" o:connecttype="custom" o:connectlocs="0,7270;6746,7270;6746,0;0,0;0,7270" o:connectangles="0,0,0,0,0"/>
                </v:shape>
                <v:shape id="Text Box 49" o:spid="_x0000_s1052" type="#_x0000_t202" style="position:absolute;left:1247;top:3431;width:5533;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72444D" w:rsidRDefault="0072444D">
                        <w:pPr>
                          <w:pStyle w:val="a3"/>
                          <w:kinsoku w:val="0"/>
                          <w:overflowPunct w:val="0"/>
                          <w:spacing w:line="184" w:lineRule="exact"/>
                          <w:ind w:left="0"/>
                          <w:rPr>
                            <w:color w:val="000000"/>
                            <w:szCs w:val="24"/>
                          </w:rPr>
                        </w:pPr>
                        <w:r>
                          <w:rPr>
                            <w:color w:val="231F20"/>
                            <w:szCs w:val="24"/>
                            <w:lang w:val="az-Latn-AZ"/>
                          </w:rPr>
                          <w:t>(Maliyyə Hesabatlarının Beynəlxalq Standartları)</w:t>
                        </w:r>
                      </w:p>
                      <w:p w:rsidR="0072444D" w:rsidRDefault="0072444D">
                        <w:pPr>
                          <w:pStyle w:val="a3"/>
                          <w:kinsoku w:val="0"/>
                          <w:overflowPunct w:val="0"/>
                          <w:spacing w:before="65"/>
                          <w:ind w:left="0"/>
                          <w:rPr>
                            <w:color w:val="000000"/>
                            <w:szCs w:val="24"/>
                          </w:rPr>
                        </w:pPr>
                        <w:r>
                          <w:rPr>
                            <w:color w:val="231F20"/>
                            <w:spacing w:val="1"/>
                            <w:szCs w:val="24"/>
                            <w:lang w:val="az-Latn-AZ"/>
                          </w:rPr>
                          <w:t>Digər Dəyər Bazaları – Ədalətli Bazar Dəyəri</w:t>
                        </w:r>
                      </w:p>
                      <w:p w:rsidR="0072444D" w:rsidRDefault="0072444D">
                        <w:pPr>
                          <w:pStyle w:val="a3"/>
                          <w:kinsoku w:val="0"/>
                          <w:overflowPunct w:val="0"/>
                          <w:spacing w:before="9"/>
                          <w:ind w:left="0"/>
                          <w:rPr>
                            <w:color w:val="000000"/>
                            <w:szCs w:val="24"/>
                          </w:rPr>
                        </w:pPr>
                        <w:r>
                          <w:rPr>
                            <w:color w:val="231F20"/>
                            <w:szCs w:val="24"/>
                            <w:lang w:val="az-Latn-AZ"/>
                          </w:rPr>
                          <w:t>(İqtisadi Əməkdaşlıq və İnkişaf Təşkilatı (İƏİT))</w:t>
                        </w:r>
                      </w:p>
                      <w:p w:rsidR="0072444D" w:rsidRDefault="0072444D">
                        <w:pPr>
                          <w:pStyle w:val="a3"/>
                          <w:kinsoku w:val="0"/>
                          <w:overflowPunct w:val="0"/>
                          <w:spacing w:before="65" w:line="250" w:lineRule="auto"/>
                          <w:ind w:left="0" w:right="2232"/>
                          <w:rPr>
                            <w:color w:val="000000"/>
                            <w:szCs w:val="24"/>
                          </w:rPr>
                        </w:pPr>
                        <w:r>
                          <w:rPr>
                            <w:color w:val="231F20"/>
                            <w:spacing w:val="1"/>
                            <w:szCs w:val="24"/>
                            <w:lang w:val="az-Latn-AZ"/>
                          </w:rPr>
                          <w:t>Digər Dəyər Bazaları – Ədalətli Bazar Dəyəri (Birləşmiş Ştatlar Daxili Gəlir Xidməti)</w:t>
                        </w:r>
                      </w:p>
                      <w:p w:rsidR="0072444D" w:rsidRDefault="0072444D">
                        <w:pPr>
                          <w:pStyle w:val="a3"/>
                          <w:kinsoku w:val="0"/>
                          <w:overflowPunct w:val="0"/>
                          <w:spacing w:before="57" w:line="250" w:lineRule="auto"/>
                          <w:ind w:left="0" w:right="1454"/>
                          <w:rPr>
                            <w:color w:val="000000"/>
                            <w:szCs w:val="24"/>
                          </w:rPr>
                        </w:pPr>
                        <w:r>
                          <w:rPr>
                            <w:color w:val="231F20"/>
                            <w:spacing w:val="1"/>
                            <w:szCs w:val="24"/>
                            <w:lang w:val="az-Latn-AZ"/>
                          </w:rPr>
                          <w:t>Müxtəlif yurisdiksiyalar əsasında Digər Dəyər Bazaları – Ədalətli Bazar Dəyəri</w:t>
                        </w:r>
                      </w:p>
                      <w:p w:rsidR="0072444D" w:rsidRDefault="0072444D">
                        <w:pPr>
                          <w:pStyle w:val="a3"/>
                          <w:kinsoku w:val="0"/>
                          <w:overflowPunct w:val="0"/>
                          <w:spacing w:before="57"/>
                          <w:ind w:left="0"/>
                          <w:rPr>
                            <w:color w:val="000000"/>
                            <w:szCs w:val="24"/>
                          </w:rPr>
                        </w:pPr>
                        <w:r>
                          <w:rPr>
                            <w:color w:val="231F20"/>
                            <w:szCs w:val="24"/>
                            <w:lang w:val="az-Latn-AZ"/>
                          </w:rPr>
                          <w:t>Dəyərləndirmə şərtləri/Təxmin edilmiş İstifadə</w:t>
                        </w:r>
                      </w:p>
                      <w:p w:rsidR="0072444D" w:rsidRDefault="0072444D">
                        <w:pPr>
                          <w:pStyle w:val="a3"/>
                          <w:kinsoku w:val="0"/>
                          <w:overflowPunct w:val="0"/>
                          <w:spacing w:before="65" w:line="316" w:lineRule="auto"/>
                          <w:ind w:left="0" w:right="1906"/>
                          <w:rPr>
                            <w:color w:val="000000"/>
                            <w:szCs w:val="24"/>
                          </w:rPr>
                        </w:pPr>
                        <w:r>
                          <w:rPr>
                            <w:color w:val="231F20"/>
                            <w:szCs w:val="24"/>
                            <w:lang w:val="az-Latn-AZ"/>
                          </w:rPr>
                          <w:t>Dəyərləndirmə Şərtləri – Ən Yaxşı və Səmərəli İstifadə Dəyərləndirmə Şərtləri – Cari/Mövcud İstifadə Dəyərləndirmə Şərtləri – Nizamlı Ləğvetmə Dəyərləndirmə Şərtləri – Məcburi Satış</w:t>
                        </w:r>
                      </w:p>
                      <w:p w:rsidR="0072444D" w:rsidRDefault="0072444D">
                        <w:pPr>
                          <w:pStyle w:val="a3"/>
                          <w:kinsoku w:val="0"/>
                          <w:overflowPunct w:val="0"/>
                          <w:spacing w:before="2" w:line="316" w:lineRule="auto"/>
                          <w:ind w:left="0" w:right="3704"/>
                          <w:rPr>
                            <w:color w:val="000000"/>
                            <w:szCs w:val="24"/>
                          </w:rPr>
                        </w:pPr>
                        <w:r>
                          <w:rPr>
                            <w:color w:val="231F20"/>
                            <w:spacing w:val="1"/>
                            <w:szCs w:val="24"/>
                            <w:lang w:val="az-Latn-AZ"/>
                          </w:rPr>
                          <w:t>Müəssisəyə xas Amillərin Sinerjisi</w:t>
                        </w:r>
                      </w:p>
                      <w:p w:rsidR="0072444D" w:rsidRDefault="0072444D">
                        <w:pPr>
                          <w:pStyle w:val="a3"/>
                          <w:kinsoku w:val="0"/>
                          <w:overflowPunct w:val="0"/>
                          <w:spacing w:before="2"/>
                          <w:ind w:left="0"/>
                          <w:rPr>
                            <w:color w:val="000000"/>
                            <w:szCs w:val="24"/>
                          </w:rPr>
                        </w:pPr>
                        <w:r>
                          <w:rPr>
                            <w:color w:val="231F20"/>
                            <w:szCs w:val="24"/>
                            <w:lang w:val="az-Latn-AZ"/>
                          </w:rPr>
                          <w:t>Ehtimallar və Xüsusi Ehtimallar</w:t>
                        </w:r>
                      </w:p>
                      <w:p w:rsidR="0072444D" w:rsidRDefault="0072444D">
                        <w:pPr>
                          <w:pStyle w:val="a3"/>
                          <w:kinsoku w:val="0"/>
                          <w:overflowPunct w:val="0"/>
                          <w:spacing w:before="65" w:line="203" w:lineRule="exact"/>
                          <w:ind w:left="0"/>
                          <w:rPr>
                            <w:color w:val="000000"/>
                            <w:szCs w:val="24"/>
                          </w:rPr>
                        </w:pPr>
                        <w:r>
                          <w:rPr>
                            <w:color w:val="231F20"/>
                            <w:spacing w:val="-1"/>
                            <w:szCs w:val="24"/>
                            <w:lang w:val="az-Latn-AZ"/>
                          </w:rPr>
                          <w:t>Əməliyyat Xərcləri</w:t>
                        </w:r>
                      </w:p>
                    </w:txbxContent>
                  </v:textbox>
                </v:shape>
                <v:shape id="Text Box 50" o:spid="_x0000_s1053" type="#_x0000_t202" style="position:absolute;left:7221;top:3431;width:2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2444D" w:rsidRDefault="0072444D">
                        <w:pPr>
                          <w:pStyle w:val="a3"/>
                          <w:kinsoku w:val="0"/>
                          <w:overflowPunct w:val="0"/>
                          <w:spacing w:line="180" w:lineRule="exact"/>
                          <w:ind w:left="0"/>
                          <w:rPr>
                            <w:color w:val="000000"/>
                            <w:szCs w:val="24"/>
                          </w:rPr>
                        </w:pPr>
                        <w:r>
                          <w:rPr>
                            <w:color w:val="231F20"/>
                            <w:spacing w:val="2"/>
                            <w:szCs w:val="24"/>
                            <w:lang w:val="az-Latn-AZ"/>
                          </w:rPr>
                          <w:t>90</w:t>
                        </w:r>
                      </w:p>
                    </w:txbxContent>
                  </v:textbox>
                </v:shape>
                <v:shape id="Text Box 51" o:spid="_x0000_s1054" type="#_x0000_t202" style="position:absolute;left:7120;top:3920;width:308;height:3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2444D" w:rsidRDefault="0072444D">
                        <w:pPr>
                          <w:pStyle w:val="a3"/>
                          <w:kinsoku w:val="0"/>
                          <w:overflowPunct w:val="0"/>
                          <w:spacing w:line="184" w:lineRule="exact"/>
                          <w:ind w:left="5"/>
                          <w:rPr>
                            <w:color w:val="000000"/>
                            <w:szCs w:val="24"/>
                          </w:rPr>
                        </w:pPr>
                        <w:r>
                          <w:rPr>
                            <w:color w:val="231F20"/>
                            <w:szCs w:val="24"/>
                            <w:lang w:val="az-Latn-AZ"/>
                          </w:rPr>
                          <w:t>100</w:t>
                        </w:r>
                      </w:p>
                      <w:p w:rsidR="0072444D" w:rsidRDefault="0072444D">
                        <w:pPr>
                          <w:pStyle w:val="a3"/>
                          <w:kinsoku w:val="0"/>
                          <w:overflowPunct w:val="0"/>
                          <w:spacing w:before="6"/>
                          <w:ind w:left="0"/>
                          <w:rPr>
                            <w:sz w:val="24"/>
                            <w:szCs w:val="24"/>
                          </w:rPr>
                        </w:pPr>
                      </w:p>
                      <w:p w:rsidR="0072444D" w:rsidRDefault="0072444D">
                        <w:pPr>
                          <w:pStyle w:val="a3"/>
                          <w:kinsoku w:val="0"/>
                          <w:overflowPunct w:val="0"/>
                          <w:ind w:left="25"/>
                          <w:rPr>
                            <w:color w:val="000000"/>
                            <w:szCs w:val="24"/>
                          </w:rPr>
                        </w:pPr>
                        <w:r>
                          <w:rPr>
                            <w:color w:val="231F20"/>
                            <w:spacing w:val="-7"/>
                            <w:szCs w:val="24"/>
                            <w:lang w:val="az-Latn-AZ"/>
                          </w:rPr>
                          <w:t>110</w:t>
                        </w:r>
                      </w:p>
                      <w:p w:rsidR="0072444D" w:rsidRDefault="0072444D">
                        <w:pPr>
                          <w:pStyle w:val="a3"/>
                          <w:kinsoku w:val="0"/>
                          <w:overflowPunct w:val="0"/>
                          <w:spacing w:before="6"/>
                          <w:ind w:left="0"/>
                          <w:rPr>
                            <w:sz w:val="24"/>
                            <w:szCs w:val="24"/>
                          </w:rPr>
                        </w:pPr>
                      </w:p>
                      <w:p w:rsidR="0072444D" w:rsidRDefault="0072444D">
                        <w:pPr>
                          <w:pStyle w:val="a3"/>
                          <w:kinsoku w:val="0"/>
                          <w:overflowPunct w:val="0"/>
                          <w:ind w:left="12"/>
                          <w:rPr>
                            <w:color w:val="000000"/>
                            <w:szCs w:val="24"/>
                          </w:rPr>
                        </w:pPr>
                        <w:r>
                          <w:rPr>
                            <w:color w:val="231F20"/>
                            <w:spacing w:val="-2"/>
                            <w:szCs w:val="24"/>
                            <w:lang w:val="az-Latn-AZ"/>
                          </w:rPr>
                          <w:t>120</w:t>
                        </w:r>
                      </w:p>
                      <w:p w:rsidR="0072444D" w:rsidRDefault="0072444D">
                        <w:pPr>
                          <w:pStyle w:val="a3"/>
                          <w:kinsoku w:val="0"/>
                          <w:overflowPunct w:val="0"/>
                          <w:spacing w:before="65"/>
                          <w:ind w:left="10"/>
                          <w:rPr>
                            <w:color w:val="000000"/>
                            <w:szCs w:val="24"/>
                          </w:rPr>
                        </w:pPr>
                        <w:r>
                          <w:rPr>
                            <w:color w:val="231F20"/>
                            <w:spacing w:val="-2"/>
                            <w:szCs w:val="24"/>
                            <w:lang w:val="az-Latn-AZ"/>
                          </w:rPr>
                          <w:t>130</w:t>
                        </w:r>
                      </w:p>
                      <w:p w:rsidR="0072444D" w:rsidRDefault="0072444D">
                        <w:pPr>
                          <w:pStyle w:val="a3"/>
                          <w:kinsoku w:val="0"/>
                          <w:overflowPunct w:val="0"/>
                          <w:spacing w:before="65"/>
                          <w:ind w:left="10"/>
                          <w:rPr>
                            <w:color w:val="000000"/>
                            <w:szCs w:val="24"/>
                          </w:rPr>
                        </w:pPr>
                        <w:r>
                          <w:rPr>
                            <w:color w:val="231F20"/>
                            <w:spacing w:val="-2"/>
                            <w:szCs w:val="24"/>
                            <w:lang w:val="az-Latn-AZ"/>
                          </w:rPr>
                          <w:t>140</w:t>
                        </w:r>
                      </w:p>
                      <w:p w:rsidR="0072444D" w:rsidRDefault="0072444D">
                        <w:pPr>
                          <w:pStyle w:val="a3"/>
                          <w:kinsoku w:val="0"/>
                          <w:overflowPunct w:val="0"/>
                          <w:spacing w:before="65"/>
                          <w:ind w:left="9"/>
                          <w:rPr>
                            <w:color w:val="000000"/>
                            <w:szCs w:val="24"/>
                          </w:rPr>
                        </w:pPr>
                        <w:r>
                          <w:rPr>
                            <w:color w:val="231F20"/>
                            <w:spacing w:val="-6"/>
                            <w:szCs w:val="24"/>
                            <w:lang w:val="az-Latn-AZ"/>
                          </w:rPr>
                          <w:t>150</w:t>
                        </w:r>
                      </w:p>
                      <w:p w:rsidR="0072444D" w:rsidRDefault="0072444D">
                        <w:pPr>
                          <w:pStyle w:val="a3"/>
                          <w:kinsoku w:val="0"/>
                          <w:overflowPunct w:val="0"/>
                          <w:spacing w:before="65"/>
                          <w:ind w:left="6"/>
                          <w:rPr>
                            <w:color w:val="000000"/>
                            <w:szCs w:val="24"/>
                          </w:rPr>
                        </w:pPr>
                        <w:r>
                          <w:rPr>
                            <w:color w:val="231F20"/>
                            <w:spacing w:val="-1"/>
                            <w:szCs w:val="24"/>
                            <w:lang w:val="az-Latn-AZ"/>
                          </w:rPr>
                          <w:t>160</w:t>
                        </w:r>
                      </w:p>
                      <w:p w:rsidR="0072444D" w:rsidRDefault="0072444D">
                        <w:pPr>
                          <w:pStyle w:val="a3"/>
                          <w:kinsoku w:val="0"/>
                          <w:overflowPunct w:val="0"/>
                          <w:spacing w:before="65"/>
                          <w:ind w:left="17"/>
                          <w:rPr>
                            <w:color w:val="000000"/>
                            <w:szCs w:val="24"/>
                          </w:rPr>
                        </w:pPr>
                        <w:r>
                          <w:rPr>
                            <w:color w:val="231F20"/>
                            <w:spacing w:val="-4"/>
                            <w:szCs w:val="24"/>
                            <w:lang w:val="az-Latn-AZ"/>
                          </w:rPr>
                          <w:t>170</w:t>
                        </w:r>
                      </w:p>
                      <w:p w:rsidR="0072444D" w:rsidRDefault="0072444D">
                        <w:pPr>
                          <w:pStyle w:val="a3"/>
                          <w:kinsoku w:val="0"/>
                          <w:overflowPunct w:val="0"/>
                          <w:spacing w:before="65"/>
                          <w:ind w:left="8"/>
                          <w:rPr>
                            <w:color w:val="000000"/>
                            <w:szCs w:val="24"/>
                          </w:rPr>
                        </w:pPr>
                        <w:r>
                          <w:rPr>
                            <w:color w:val="231F20"/>
                            <w:spacing w:val="-1"/>
                            <w:szCs w:val="24"/>
                            <w:lang w:val="az-Latn-AZ"/>
                          </w:rPr>
                          <w:t>180</w:t>
                        </w:r>
                      </w:p>
                      <w:p w:rsidR="0072444D" w:rsidRDefault="0072444D">
                        <w:pPr>
                          <w:pStyle w:val="a3"/>
                          <w:kinsoku w:val="0"/>
                          <w:overflowPunct w:val="0"/>
                          <w:spacing w:before="65"/>
                          <w:ind w:left="6"/>
                          <w:rPr>
                            <w:color w:val="000000"/>
                            <w:szCs w:val="24"/>
                          </w:rPr>
                        </w:pPr>
                        <w:r>
                          <w:rPr>
                            <w:color w:val="231F20"/>
                            <w:spacing w:val="-1"/>
                            <w:szCs w:val="24"/>
                            <w:lang w:val="az-Latn-AZ"/>
                          </w:rPr>
                          <w:t>190</w:t>
                        </w:r>
                      </w:p>
                      <w:p w:rsidR="0072444D" w:rsidRDefault="0072444D">
                        <w:pPr>
                          <w:pStyle w:val="a3"/>
                          <w:kinsoku w:val="0"/>
                          <w:overflowPunct w:val="0"/>
                          <w:spacing w:before="65"/>
                          <w:ind w:left="0"/>
                          <w:rPr>
                            <w:color w:val="000000"/>
                            <w:szCs w:val="24"/>
                          </w:rPr>
                        </w:pPr>
                        <w:r>
                          <w:rPr>
                            <w:color w:val="231F20"/>
                            <w:spacing w:val="1"/>
                            <w:szCs w:val="24"/>
                            <w:lang w:val="az-Latn-AZ"/>
                          </w:rPr>
                          <w:t>200</w:t>
                        </w:r>
                      </w:p>
                      <w:p w:rsidR="0072444D" w:rsidRDefault="0072444D">
                        <w:pPr>
                          <w:pStyle w:val="a3"/>
                          <w:kinsoku w:val="0"/>
                          <w:overflowPunct w:val="0"/>
                          <w:spacing w:before="65" w:line="203" w:lineRule="exact"/>
                          <w:ind w:left="14"/>
                          <w:rPr>
                            <w:color w:val="000000"/>
                            <w:szCs w:val="24"/>
                          </w:rPr>
                        </w:pPr>
                        <w:r>
                          <w:rPr>
                            <w:color w:val="231F20"/>
                            <w:spacing w:val="-3"/>
                            <w:szCs w:val="24"/>
                            <w:lang w:val="az-Latn-AZ"/>
                          </w:rPr>
                          <w:t>210</w:t>
                        </w:r>
                      </w:p>
                    </w:txbxContent>
                  </v:textbox>
                </v:shape>
                <w10:wrap anchorx="page"/>
              </v:group>
            </w:pict>
          </mc:Fallback>
        </mc:AlternateContent>
      </w:r>
      <w:r w:rsidR="003C64E0" w:rsidRPr="009C2EF2">
        <w:rPr>
          <w:rFonts w:ascii="Times New Roman" w:hAnsi="Times New Roman"/>
          <w:color w:val="231F20"/>
          <w:spacing w:val="-1"/>
          <w:szCs w:val="24"/>
          <w:lang w:val="az-Latn-AZ"/>
        </w:rPr>
        <w:t>BQS 104 Dəyər Bazaları</w:t>
      </w:r>
    </w:p>
    <w:p w:rsidR="00D02DD9" w:rsidRPr="009C2EF2" w:rsidRDefault="00D02DD9">
      <w:pPr>
        <w:pStyle w:val="a3"/>
        <w:kinsoku w:val="0"/>
        <w:overflowPunct w:val="0"/>
        <w:spacing w:before="8"/>
        <w:ind w:left="0"/>
        <w:rPr>
          <w:rFonts w:ascii="Times New Roman" w:hAnsi="Times New Roman"/>
          <w:b/>
          <w:sz w:val="24"/>
          <w:szCs w:val="24"/>
          <w:lang w:val="az-Latn-AZ"/>
        </w:rPr>
      </w:pPr>
    </w:p>
    <w:tbl>
      <w:tblPr>
        <w:tblW w:w="0" w:type="auto"/>
        <w:tblInd w:w="964" w:type="dxa"/>
        <w:tblLayout w:type="fixed"/>
        <w:tblCellMar>
          <w:left w:w="0" w:type="dxa"/>
          <w:right w:w="0" w:type="dxa"/>
        </w:tblCellMar>
        <w:tblLook w:val="04A0" w:firstRow="1" w:lastRow="0" w:firstColumn="1" w:lastColumn="0" w:noHBand="0" w:noVBand="1"/>
      </w:tblPr>
      <w:tblGrid>
        <w:gridCol w:w="5039"/>
        <w:gridCol w:w="1707"/>
      </w:tblGrid>
      <w:tr w:rsidR="00D02DD9" w:rsidRPr="009C2EF2">
        <w:trPr>
          <w:trHeight w:hRule="exact" w:val="758"/>
        </w:trPr>
        <w:tc>
          <w:tcPr>
            <w:tcW w:w="5039" w:type="dxa"/>
            <w:tcBorders>
              <w:top w:val="nil"/>
              <w:left w:val="nil"/>
              <w:bottom w:val="nil"/>
              <w:right w:val="nil"/>
            </w:tcBorders>
            <w:shd w:val="clear" w:color="auto" w:fill="E6E7E8"/>
          </w:tcPr>
          <w:p w:rsidR="00D02DD9" w:rsidRPr="009C2EF2" w:rsidRDefault="00D02DD9">
            <w:pPr>
              <w:pStyle w:val="TableParagraph"/>
              <w:kinsoku w:val="0"/>
              <w:overflowPunct w:val="0"/>
              <w:spacing w:before="7"/>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z w:val="24"/>
                <w:szCs w:val="24"/>
                <w:lang w:val="az-Latn-AZ"/>
              </w:rPr>
              <w:t>Giriş</w:t>
            </w:r>
          </w:p>
        </w:tc>
        <w:tc>
          <w:tcPr>
            <w:tcW w:w="1707" w:type="dxa"/>
            <w:tcBorders>
              <w:top w:val="nil"/>
              <w:left w:val="nil"/>
              <w:bottom w:val="nil"/>
              <w:right w:val="nil"/>
            </w:tcBorders>
            <w:shd w:val="clear" w:color="auto" w:fill="E6E7E8"/>
          </w:tcPr>
          <w:p w:rsidR="00D02DD9" w:rsidRPr="009C2EF2" w:rsidRDefault="00D02DD9">
            <w:pPr>
              <w:pStyle w:val="TableParagraph"/>
              <w:kinsoku w:val="0"/>
              <w:overflowPunct w:val="0"/>
              <w:spacing w:before="7"/>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z w:val="24"/>
                <w:szCs w:val="24"/>
                <w:lang w:val="az-Latn-AZ"/>
              </w:rPr>
              <w:t>20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Bazar Dəyəri</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Bazar İcarə Haqqı</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Razılaşma dəyəri</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İnvestisiya dəyəri</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Sinerji Dəyəri</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2"/>
                <w:sz w:val="24"/>
                <w:szCs w:val="24"/>
                <w:lang w:val="az-Latn-AZ"/>
              </w:rPr>
              <w:t>BQS Dəyər Bazası – Ləğvetmə dəyəri </w:t>
            </w:r>
          </w:p>
        </w:tc>
        <w:tc>
          <w:tcPr>
            <w:tcW w:w="170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222"/>
        </w:trPr>
        <w:tc>
          <w:tcPr>
            <w:tcW w:w="503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line="199" w:lineRule="exact"/>
              <w:ind w:left="283"/>
              <w:rPr>
                <w:sz w:val="24"/>
                <w:szCs w:val="24"/>
                <w:lang w:val="az-Latn-AZ"/>
              </w:rPr>
            </w:pPr>
            <w:r w:rsidRPr="009C2EF2">
              <w:rPr>
                <w:color w:val="231F20"/>
                <w:spacing w:val="1"/>
                <w:sz w:val="24"/>
                <w:szCs w:val="24"/>
                <w:lang w:val="az-Latn-AZ"/>
              </w:rPr>
              <w:t>Digər Dəyər Bazaları – Ədalətli Dəyər</w:t>
            </w:r>
          </w:p>
        </w:tc>
        <w:tc>
          <w:tcPr>
            <w:tcW w:w="1707" w:type="dxa"/>
            <w:tcBorders>
              <w:top w:val="nil"/>
              <w:left w:val="nil"/>
              <w:bottom w:val="nil"/>
              <w:right w:val="nil"/>
            </w:tcBorders>
            <w:shd w:val="clear" w:color="auto" w:fill="E6E7E8"/>
          </w:tcPr>
          <w:p w:rsidR="00D02DD9" w:rsidRPr="009C2EF2" w:rsidRDefault="00D02DD9">
            <w:pPr>
              <w:rPr>
                <w:sz w:val="24"/>
                <w:szCs w:val="24"/>
                <w:lang w:val="az-Latn-AZ"/>
              </w:rPr>
            </w:pPr>
          </w:p>
        </w:tc>
      </w:tr>
    </w:tbl>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75026C">
      <w:pPr>
        <w:pStyle w:val="Heading41"/>
        <w:kinsoku w:val="0"/>
        <w:overflowPunct w:val="0"/>
        <w:spacing w:line="250" w:lineRule="auto"/>
        <w:ind w:left="1247" w:right="1570" w:firstLine="0"/>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4304" behindDoc="0" locked="0" layoutInCell="0" allowOverlap="1">
                <wp:simplePos x="0" y="0"/>
                <wp:positionH relativeFrom="page">
                  <wp:posOffset>151130</wp:posOffset>
                </wp:positionH>
                <wp:positionV relativeFrom="paragraph">
                  <wp:posOffset>-2686050</wp:posOffset>
                </wp:positionV>
                <wp:extent cx="152400" cy="2710180"/>
                <wp:effectExtent l="0" t="0" r="0" b="0"/>
                <wp:wrapNone/>
                <wp:docPr id="2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left:0;text-align:left;margin-left:11.9pt;margin-top:-211.5pt;width:12pt;height:213.4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IntAIAALc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pacing w:val="1"/>
          <w:sz w:val="24"/>
          <w:szCs w:val="24"/>
          <w:lang w:val="az-Latn-AZ"/>
        </w:rPr>
        <w:t>Bu icbari standart aşağıdakı tələblərin bu standartın tərkib hissəsi olub-olmamasından asılı olmayaraq qiymətləndiricidən uyğun dəyər bazasını (və ya bazalarını) seçməyi və həmin dəyər bazası ilə bağlı bütün uyğun tələblərə əməl etməyi tələb edir (BQS  dəyər bazası və ya qeyri-BQS dəyər bazası).</w:t>
      </w:r>
    </w:p>
    <w:p w:rsidR="00D02DD9" w:rsidRPr="009C2EF2" w:rsidRDefault="003C64E0">
      <w:pPr>
        <w:pStyle w:val="a3"/>
        <w:numPr>
          <w:ilvl w:val="0"/>
          <w:numId w:val="100"/>
        </w:numPr>
        <w:tabs>
          <w:tab w:val="left" w:pos="1531"/>
        </w:tabs>
        <w:kinsoku w:val="0"/>
        <w:overflowPunct w:val="0"/>
        <w:spacing w:before="122"/>
        <w:rPr>
          <w:rFonts w:ascii="Times New Roman" w:hAnsi="Times New Roman"/>
          <w:color w:val="000000"/>
          <w:sz w:val="24"/>
          <w:szCs w:val="24"/>
          <w:lang w:val="az-Latn-AZ"/>
        </w:rPr>
      </w:pPr>
      <w:r w:rsidRPr="009C2EF2">
        <w:rPr>
          <w:rFonts w:ascii="Times New Roman" w:hAnsi="Times New Roman"/>
          <w:b/>
          <w:color w:val="231F20"/>
          <w:spacing w:val="2"/>
          <w:sz w:val="24"/>
          <w:szCs w:val="24"/>
          <w:lang w:val="az-Latn-AZ"/>
        </w:rPr>
        <w:lastRenderedPageBreak/>
        <w:t>Giriş</w:t>
      </w:r>
    </w:p>
    <w:p w:rsidR="00D02DD9" w:rsidRPr="009C2EF2" w:rsidRDefault="003C64E0">
      <w:pPr>
        <w:pStyle w:val="a3"/>
        <w:numPr>
          <w:ilvl w:val="1"/>
          <w:numId w:val="100"/>
        </w:numPr>
        <w:tabs>
          <w:tab w:val="left" w:pos="1531"/>
        </w:tabs>
        <w:kinsoku w:val="0"/>
        <w:overflowPunct w:val="0"/>
        <w:spacing w:before="122" w:line="250" w:lineRule="auto"/>
        <w:ind w:right="141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 bazası (və ya dəyər standartları) hesabat dəyərinin əsaslandırılacağı əsas şərtləri təsvir edir. Dəyər bazasının (və ya bazalarının) </w:t>
      </w:r>
      <w:r w:rsidRPr="009C2EF2">
        <w:rPr>
          <w:rFonts w:ascii="Times New Roman" w:hAnsi="Times New Roman"/>
          <w:i/>
          <w:color w:val="231F20"/>
          <w:spacing w:val="1"/>
          <w:sz w:val="24"/>
          <w:szCs w:val="24"/>
          <w:lang w:val="az-Latn-AZ"/>
        </w:rPr>
        <w:t xml:space="preserve">qiymətləndirmə tapşırığının məqsədinə </w:t>
      </w:r>
      <w:r w:rsidRPr="009C2EF2">
        <w:rPr>
          <w:rFonts w:ascii="Times New Roman" w:hAnsi="Times New Roman"/>
          <w:color w:val="231F20"/>
          <w:sz w:val="24"/>
          <w:szCs w:val="24"/>
          <w:lang w:val="az-Latn-AZ"/>
        </w:rPr>
        <w:t xml:space="preserve">və şərtlərinə uyğun olması vacibdir, çünki dəyər bazası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seçəcəyi metoda, ilkin məlumatlara, ehtimallara və dəyərlə bağlı veriləcək rəyə təsir edə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0"/>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Qiymətləndiricidən </w:t>
      </w:r>
      <w:r w:rsidRPr="009C2EF2">
        <w:rPr>
          <w:rFonts w:ascii="Times New Roman" w:hAnsi="Times New Roman"/>
          <w:color w:val="231F20"/>
          <w:sz w:val="24"/>
          <w:szCs w:val="24"/>
          <w:lang w:val="az-Latn-AZ"/>
        </w:rPr>
        <w:t>əsasnamə, nizamnamə, şəxsi müqavilə və s. kimi sənədlər əsasında müəyyənləşdirilən dəyər bazasından istifadə olunması tələb oluna bilər. Belə bazalar müvafiq qaydada izah olunmalı və  tətbiq olunmalıdır.</w:t>
      </w:r>
    </w:p>
    <w:p w:rsidR="00D02DD9" w:rsidRPr="009C2EF2" w:rsidRDefault="00D02DD9">
      <w:pPr>
        <w:pStyle w:val="a3"/>
        <w:kinsoku w:val="0"/>
        <w:overflowPunct w:val="0"/>
        <w:spacing w:before="6"/>
        <w:ind w:left="0"/>
        <w:rPr>
          <w:rFonts w:ascii="Times New Roman" w:hAnsi="Times New Roman"/>
          <w:sz w:val="24"/>
          <w:szCs w:val="24"/>
          <w:lang w:val="az-Latn-AZ"/>
        </w:rPr>
      </w:pPr>
    </w:p>
    <w:p w:rsidR="00D02DD9" w:rsidRPr="009C2EF2" w:rsidRDefault="003C64E0">
      <w:pPr>
        <w:pStyle w:val="a3"/>
        <w:kinsoku w:val="0"/>
        <w:overflowPunct w:val="0"/>
        <w:spacing w:before="80"/>
        <w:ind w:left="4180" w:right="4353"/>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16</w:t>
      </w:r>
    </w:p>
    <w:p w:rsidR="00D02DD9" w:rsidRPr="009C2EF2" w:rsidRDefault="00D02DD9">
      <w:pPr>
        <w:pStyle w:val="a3"/>
        <w:kinsoku w:val="0"/>
        <w:overflowPunct w:val="0"/>
        <w:spacing w:before="80"/>
        <w:ind w:left="4180" w:right="4353"/>
        <w:jc w:val="center"/>
        <w:rPr>
          <w:rFonts w:ascii="Times New Roman" w:hAnsi="Times New Roman"/>
          <w:color w:val="000000"/>
          <w:sz w:val="24"/>
          <w:szCs w:val="24"/>
          <w:lang w:val="az-Latn-AZ"/>
        </w:rPr>
        <w:sectPr w:rsidR="00D02DD9" w:rsidRPr="009C2EF2">
          <w:footerReference w:type="default" r:id="rId2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4112" behindDoc="1" locked="0" layoutInCell="0" allowOverlap="1">
                <wp:simplePos x="0" y="0"/>
                <wp:positionH relativeFrom="page">
                  <wp:posOffset>5183505</wp:posOffset>
                </wp:positionH>
                <wp:positionV relativeFrom="page">
                  <wp:posOffset>0</wp:posOffset>
                </wp:positionV>
                <wp:extent cx="431800" cy="8423910"/>
                <wp:effectExtent l="0" t="0" r="0" b="0"/>
                <wp:wrapNone/>
                <wp:docPr id="21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3E43DF" id="Freeform 53" o:spid="_x0000_s1026" style="position:absolute;margin-left:408.15pt;margin-top:0;width:34pt;height:663.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v8dw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CXJ5v8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1"/>
          <w:numId w:val="100"/>
        </w:numPr>
        <w:tabs>
          <w:tab w:val="left" w:pos="681"/>
        </w:tabs>
        <w:kinsoku w:val="0"/>
        <w:overflowPunct w:val="0"/>
        <w:spacing w:before="77" w:line="250" w:lineRule="auto"/>
        <w:ind w:left="680" w:right="101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ilə bağlı müxtəlif dəyər bazalarının olmasına baxmayaraq onların əksəriyyəti eyni elementlərə sahibdir: ehtimal edilən əməliyyat, əməliyyatın ehtimal edilən tarixi və ehtimal olunan tərəfləri.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0"/>
        </w:numPr>
        <w:tabs>
          <w:tab w:val="left" w:pos="681"/>
        </w:tabs>
        <w:kinsoku w:val="0"/>
        <w:overflowPunct w:val="0"/>
        <w:spacing w:line="250" w:lineRule="auto"/>
        <w:ind w:left="680"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 olunan əməliyyat dəyər bazasından asılı olaraq bir sıra formalarda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hipotetik əməliyyat,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faktiki əməliyyat,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alqı-satqı (biznes) əməliyyatı,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satış (və ya çıxış) əməliyyatı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spacing w:line="250" w:lineRule="auto"/>
        <w:ind w:left="964" w:right="2448"/>
        <w:rPr>
          <w:rFonts w:ascii="Times New Roman" w:hAnsi="Times New Roman"/>
          <w:color w:val="000000"/>
          <w:sz w:val="24"/>
          <w:szCs w:val="24"/>
          <w:lang w:val="az-Latn-AZ"/>
        </w:rPr>
      </w:pPr>
      <w:r w:rsidRPr="009C2EF2">
        <w:rPr>
          <w:rFonts w:ascii="Times New Roman" w:hAnsi="Times New Roman"/>
          <w:color w:val="231F20"/>
          <w:sz w:val="24"/>
          <w:szCs w:val="24"/>
          <w:lang w:val="az-Latn-AZ"/>
        </w:rPr>
        <w:t>səciyyəvi xüsusiyyətlərə malik xüsusi və ya hipotetik bazar əməliyyatı.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rsidP="00537609">
      <w:pPr>
        <w:pStyle w:val="a3"/>
        <w:numPr>
          <w:ilvl w:val="1"/>
          <w:numId w:val="100"/>
        </w:numPr>
        <w:tabs>
          <w:tab w:val="left" w:pos="681"/>
        </w:tabs>
        <w:kinsoku w:val="0"/>
        <w:overflowPunct w:val="0"/>
        <w:spacing w:line="250" w:lineRule="auto"/>
        <w:ind w:left="680" w:right="1016"/>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5328" behindDoc="0" locked="0" layoutInCell="0" allowOverlap="1">
                <wp:simplePos x="0" y="0"/>
                <wp:positionH relativeFrom="page">
                  <wp:posOffset>5276215</wp:posOffset>
                </wp:positionH>
                <wp:positionV relativeFrom="paragraph">
                  <wp:posOffset>76200</wp:posOffset>
                </wp:positionV>
                <wp:extent cx="152400" cy="2710180"/>
                <wp:effectExtent l="0" t="0" r="0" b="0"/>
                <wp:wrapNone/>
                <wp:docPr id="2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left:0;text-align:left;margin-left:415.45pt;margin-top:6pt;width:12pt;height:213.4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z w:val="24"/>
          <w:szCs w:val="24"/>
          <w:lang w:val="az-Latn-AZ"/>
        </w:rPr>
        <w:t xml:space="preserve">Ehtimal olunan əməliyyat tarixi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z w:val="24"/>
          <w:szCs w:val="24"/>
          <w:lang w:val="az-Latn-AZ"/>
        </w:rPr>
        <w:t>tərəfindən qiymətləndirmədə nəzərdə tutulmuş məlumata və verilənlərə təsir edəcək. Əksər dəyər bazası</w:t>
      </w:r>
      <w:r w:rsidR="00CC0B7F" w:rsidRPr="009C2EF2">
        <w:rPr>
          <w:rFonts w:ascii="Times New Roman" w:hAnsi="Times New Roman"/>
          <w:color w:val="231F20"/>
          <w:sz w:val="24"/>
          <w:szCs w:val="24"/>
          <w:lang w:val="az-Latn-AZ"/>
        </w:rPr>
        <w:t xml:space="preserve"> </w:t>
      </w:r>
      <w:r w:rsidR="003C64E0" w:rsidRPr="009C2EF2">
        <w:rPr>
          <w:rFonts w:ascii="Times New Roman" w:hAnsi="Times New Roman"/>
          <w:i/>
          <w:color w:val="231F20"/>
          <w:sz w:val="24"/>
          <w:szCs w:val="24"/>
          <w:lang w:val="az-Latn-AZ"/>
        </w:rPr>
        <w:t xml:space="preserve">iştirakçılar </w:t>
      </w:r>
      <w:r w:rsidR="003C64E0" w:rsidRPr="009C2EF2">
        <w:rPr>
          <w:rFonts w:ascii="Times New Roman" w:hAnsi="Times New Roman"/>
          <w:color w:val="231F20"/>
          <w:sz w:val="24"/>
          <w:szCs w:val="24"/>
          <w:lang w:val="az-Latn-AZ"/>
        </w:rPr>
        <w:t>tərəfindən qiymətləndirmə tarixində öyrənilməsi mümkün olmayan məlumatın və ya bazar əhval-ruhiyyəsinin nəzərə alınmasına qadağa qoyur.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0"/>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Əksər dəyər bazaları əməliyyat tərəfləri ilə bağlı ehtimalları əks etdirir və tərəflər haqqında müəyyən təsəvvür yaradır. Tərəflər faktiki və ya ehtimal olunan bir və ya bir neçə xüsusiyyətə sahib ola bilərlər: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hipotetik,</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məlum və ya konkret tərəflər,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potensial tərəflərin müəyyən qrup üzvləri,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tərəflərin ehtimal olunan tarixdə xüsusi hallara məruz qalması (məsələn, təzyiq)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00"/>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 olunan bilik səviyyəsi.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9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CC0B7F">
      <w:pPr>
        <w:pStyle w:val="a3"/>
        <w:numPr>
          <w:ilvl w:val="1"/>
          <w:numId w:val="99"/>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w:t>
      </w:r>
      <w:r w:rsidR="003C64E0" w:rsidRPr="009C2EF2">
        <w:rPr>
          <w:rFonts w:ascii="Times New Roman" w:hAnsi="Times New Roman"/>
          <w:color w:val="231F20"/>
          <w:sz w:val="24"/>
          <w:szCs w:val="24"/>
          <w:lang w:val="az-Latn-AZ"/>
        </w:rPr>
        <w:t xml:space="preserve">dəyər bazasının siyahısı ilə yanaşı fərdi </w:t>
      </w:r>
      <w:r w:rsidR="003C64E0" w:rsidRPr="009C2EF2">
        <w:rPr>
          <w:rFonts w:ascii="Times New Roman" w:hAnsi="Times New Roman"/>
          <w:i/>
          <w:color w:val="231F20"/>
          <w:sz w:val="24"/>
          <w:szCs w:val="24"/>
          <w:lang w:val="az-Latn-AZ"/>
        </w:rPr>
        <w:t xml:space="preserve">yurisdiksiya </w:t>
      </w:r>
      <w:r w:rsidR="003C64E0" w:rsidRPr="009C2EF2">
        <w:rPr>
          <w:rFonts w:ascii="Times New Roman" w:hAnsi="Times New Roman"/>
          <w:color w:val="231F20"/>
          <w:sz w:val="24"/>
          <w:szCs w:val="24"/>
          <w:lang w:val="az-Latn-AZ"/>
        </w:rPr>
        <w:t>əsasında müəyyən edilmiş və ya beynəlxalq saziş ilə tanınan və qəbul edilən qeyri-BQS dəyər bazasının natamam siyahısını da verib:</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9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BQS dəyər bazası: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Dəyəri (bölmə 30)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İcarə Haqqı (bölmə 40)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Razılaşma Dəyəri (bölmə 50)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İnvestisiya Dəyəri (bölmə 60)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Sinerji Dəyəri (bölmə 70)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Ləğvetmə Dəyəri (bölmə 80)</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ind w:left="2867" w:right="3725"/>
        <w:jc w:val="center"/>
        <w:rPr>
          <w:rFonts w:ascii="Times New Roman" w:hAnsi="Times New Roman"/>
          <w:color w:val="000000"/>
          <w:sz w:val="24"/>
          <w:szCs w:val="24"/>
          <w:lang w:val="az-Latn-AZ"/>
        </w:rPr>
      </w:pPr>
      <w:r w:rsidRPr="009C2EF2">
        <w:rPr>
          <w:rFonts w:ascii="Times New Roman" w:hAnsi="Times New Roman"/>
          <w:color w:val="231F20"/>
          <w:spacing w:val="-11"/>
          <w:sz w:val="24"/>
          <w:szCs w:val="24"/>
          <w:lang w:val="az-Latn-AZ"/>
        </w:rPr>
        <w:t>17</w:t>
      </w:r>
    </w:p>
    <w:p w:rsidR="00D02DD9" w:rsidRPr="009C2EF2" w:rsidRDefault="00D02DD9">
      <w:pPr>
        <w:pStyle w:val="a3"/>
        <w:kinsoku w:val="0"/>
        <w:overflowPunct w:val="0"/>
        <w:ind w:left="2867" w:right="3725"/>
        <w:jc w:val="center"/>
        <w:rPr>
          <w:rFonts w:ascii="Times New Roman" w:hAnsi="Times New Roman"/>
          <w:color w:val="000000"/>
          <w:sz w:val="24"/>
          <w:szCs w:val="24"/>
          <w:lang w:val="az-Latn-AZ"/>
        </w:rPr>
        <w:sectPr w:rsidR="00D02DD9" w:rsidRPr="009C2EF2">
          <w:footerReference w:type="default" r:id="rId2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5136" behindDoc="1" locked="0" layoutInCell="0" allowOverlap="1">
                <wp:simplePos x="0" y="0"/>
                <wp:positionH relativeFrom="page">
                  <wp:posOffset>0</wp:posOffset>
                </wp:positionH>
                <wp:positionV relativeFrom="page">
                  <wp:posOffset>0</wp:posOffset>
                </wp:positionV>
                <wp:extent cx="432435" cy="8424545"/>
                <wp:effectExtent l="0" t="0" r="0" b="0"/>
                <wp:wrapNone/>
                <wp:docPr id="21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32322E" id="Freeform 55" o:spid="_x0000_s1026" style="position:absolute;margin-left:0;margin-top:0;width:34.05pt;height:663.3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DcDsdg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2"/>
          <w:numId w:val="99"/>
        </w:numPr>
        <w:tabs>
          <w:tab w:val="left" w:pos="1815"/>
        </w:tabs>
        <w:kinsoku w:val="0"/>
        <w:overflowPunct w:val="0"/>
        <w:spacing w:before="77"/>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Digər dəyər bazaları (natamam siyahı):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Ədalətli Dəyər (Maliyyə Hesabatlarının Beynəlxalq Standartları) (bölmə 90),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99"/>
        </w:numPr>
        <w:tabs>
          <w:tab w:val="left" w:pos="2098"/>
        </w:tabs>
        <w:kinsoku w:val="0"/>
        <w:overflowPunct w:val="0"/>
        <w:spacing w:line="250" w:lineRule="auto"/>
        <w:ind w:left="2097" w:right="1619"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Ədalətli Bazar Dəyəri (İqtisadi Əməkdaşlıq və İnkişaf Təşkilatı) (bölmə 100),</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99"/>
        </w:numPr>
        <w:tabs>
          <w:tab w:val="left" w:pos="2098"/>
        </w:tabs>
        <w:kinsoku w:val="0"/>
        <w:overflowPunct w:val="0"/>
        <w:spacing w:line="250" w:lineRule="auto"/>
        <w:ind w:left="2097" w:right="2009"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Ədalətli Bazar Dəyəri (Birləşmiş Ştatlar Daxili Gəlir Xidməti) (bölmə 110)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99"/>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Ədalətli Dəyər (Legal/Statutory) (bölmə 120)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4"/>
          <w:numId w:val="99"/>
        </w:numPr>
        <w:tabs>
          <w:tab w:val="left" w:pos="2299"/>
        </w:tabs>
        <w:kinsoku w:val="0"/>
        <w:overflowPunct w:val="0"/>
        <w:ind w:left="2298"/>
        <w:rPr>
          <w:rFonts w:ascii="Times New Roman" w:hAnsi="Times New Roman"/>
          <w:color w:val="000000"/>
          <w:sz w:val="24"/>
          <w:szCs w:val="24"/>
          <w:lang w:val="az-Latn-AZ"/>
        </w:rPr>
      </w:pPr>
      <w:r w:rsidRPr="009C2EF2">
        <w:rPr>
          <w:rFonts w:ascii="Times New Roman" w:hAnsi="Times New Roman"/>
          <w:color w:val="231F20"/>
          <w:sz w:val="24"/>
          <w:szCs w:val="24"/>
          <w:lang w:val="az-Latn-AZ"/>
        </w:rPr>
        <w:t>Biznes Korporasiyalar Aktı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4"/>
          <w:numId w:val="99"/>
        </w:numPr>
        <w:tabs>
          <w:tab w:val="left" w:pos="2296"/>
        </w:tabs>
        <w:kinsoku w:val="0"/>
        <w:overflowPunct w:val="0"/>
        <w:ind w:left="2295" w:hanging="198"/>
        <w:rPr>
          <w:rFonts w:ascii="Times New Roman" w:hAnsi="Times New Roman"/>
          <w:color w:val="000000"/>
          <w:sz w:val="24"/>
          <w:szCs w:val="24"/>
          <w:lang w:val="az-Latn-AZ"/>
        </w:rPr>
      </w:pPr>
      <w:r w:rsidRPr="009C2EF2">
        <w:rPr>
          <w:rFonts w:ascii="Times New Roman" w:hAnsi="Times New Roman"/>
          <w:color w:val="231F20"/>
          <w:sz w:val="24"/>
          <w:szCs w:val="24"/>
          <w:lang w:val="az-Latn-AZ"/>
        </w:rPr>
        <w:t>Kanada məhkəməsi (Manning v Harris Steel Group Inc).</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rsidP="00537609">
      <w:pPr>
        <w:pStyle w:val="a3"/>
        <w:numPr>
          <w:ilvl w:val="1"/>
          <w:numId w:val="99"/>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6352" behindDoc="0" locked="0" layoutInCell="0" allowOverlap="1">
                <wp:simplePos x="0" y="0"/>
                <wp:positionH relativeFrom="page">
                  <wp:posOffset>151130</wp:posOffset>
                </wp:positionH>
                <wp:positionV relativeFrom="paragraph">
                  <wp:posOffset>350520</wp:posOffset>
                </wp:positionV>
                <wp:extent cx="152400" cy="2710180"/>
                <wp:effectExtent l="0" t="0" r="0" b="0"/>
                <wp:wrapNone/>
                <wp:docPr id="2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left:0;text-align:left;margin-left:11.9pt;margin-top:27.6pt;width:12pt;height:213.4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BB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i/>
          <w:color w:val="231F20"/>
          <w:spacing w:val="-1"/>
          <w:sz w:val="24"/>
          <w:szCs w:val="24"/>
          <w:lang w:val="az-Latn-AZ"/>
        </w:rPr>
        <w:t xml:space="preserve">Qiymətləndirici </w:t>
      </w:r>
      <w:r w:rsidR="003C64E0" w:rsidRPr="009C2EF2">
        <w:rPr>
          <w:rFonts w:ascii="Times New Roman" w:hAnsi="Times New Roman"/>
          <w:color w:val="231F20"/>
          <w:spacing w:val="1"/>
          <w:sz w:val="24"/>
          <w:szCs w:val="24"/>
          <w:lang w:val="az-Latn-AZ"/>
        </w:rPr>
        <w:t>dəyər bazasını (və ya bazalarını)</w:t>
      </w:r>
      <w:r w:rsidR="003C64E0" w:rsidRPr="009C2EF2">
        <w:rPr>
          <w:rFonts w:ascii="Times New Roman" w:hAnsi="Times New Roman"/>
          <w:i/>
          <w:color w:val="231F20"/>
          <w:spacing w:val="1"/>
          <w:sz w:val="24"/>
          <w:szCs w:val="24"/>
          <w:lang w:val="az-Latn-AZ"/>
        </w:rPr>
        <w:t xml:space="preserve"> qiymətləndirmə tapşırığının məqsədinə </w:t>
      </w:r>
      <w:r w:rsidR="003C64E0" w:rsidRPr="009C2EF2">
        <w:rPr>
          <w:rFonts w:ascii="Times New Roman" w:hAnsi="Times New Roman"/>
          <w:color w:val="231F20"/>
          <w:spacing w:val="1"/>
          <w:sz w:val="24"/>
          <w:szCs w:val="24"/>
          <w:lang w:val="az-Latn-AZ"/>
        </w:rPr>
        <w:t xml:space="preserve">və şərtlərinə uyğun seçməlidir.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pacing w:val="1"/>
          <w:sz w:val="24"/>
          <w:szCs w:val="24"/>
          <w:lang w:val="az-Latn-AZ"/>
        </w:rPr>
        <w:t xml:space="preserve">tərəfindən seçiləcək dəyər bazasında (və ya bazalarında) </w:t>
      </w:r>
      <w:r w:rsidR="003C64E0" w:rsidRPr="009C2EF2">
        <w:rPr>
          <w:rFonts w:ascii="Times New Roman" w:hAnsi="Times New Roman"/>
          <w:i/>
          <w:color w:val="231F20"/>
          <w:sz w:val="24"/>
          <w:szCs w:val="24"/>
          <w:lang w:val="az-Latn-AZ"/>
        </w:rPr>
        <w:t xml:space="preserve">müştəri </w:t>
      </w:r>
      <w:r w:rsidR="003C64E0" w:rsidRPr="009C2EF2">
        <w:rPr>
          <w:rFonts w:ascii="Times New Roman" w:hAnsi="Times New Roman"/>
          <w:color w:val="231F20"/>
          <w:spacing w:val="1"/>
          <w:sz w:val="24"/>
          <w:szCs w:val="24"/>
          <w:lang w:val="az-Latn-AZ"/>
        </w:rPr>
        <w:t xml:space="preserve">və onun nümayəndələri tərəfindən qəbul edilmiş təlimatlar nəzərə </w:t>
      </w:r>
      <w:r w:rsidR="003C64E0" w:rsidRPr="009C2EF2">
        <w:rPr>
          <w:rFonts w:ascii="Times New Roman" w:hAnsi="Times New Roman"/>
          <w:i/>
          <w:color w:val="231F20"/>
          <w:spacing w:val="1"/>
          <w:sz w:val="24"/>
          <w:szCs w:val="24"/>
          <w:lang w:val="az-Latn-AZ"/>
        </w:rPr>
        <w:t>alınmalıdır</w:t>
      </w:r>
      <w:r w:rsidR="003C64E0" w:rsidRPr="009C2EF2">
        <w:rPr>
          <w:rFonts w:ascii="Times New Roman" w:hAnsi="Times New Roman"/>
          <w:color w:val="231F20"/>
          <w:spacing w:val="1"/>
          <w:sz w:val="24"/>
          <w:szCs w:val="24"/>
          <w:lang w:val="az-Latn-AZ"/>
        </w:rPr>
        <w:t xml:space="preserve">. Verilmiş təlimatlardan asılı olmayaraq </w:t>
      </w:r>
      <w:r w:rsidR="003C64E0" w:rsidRPr="009C2EF2">
        <w:rPr>
          <w:rFonts w:ascii="Times New Roman" w:hAnsi="Times New Roman"/>
          <w:i/>
          <w:color w:val="231F20"/>
          <w:spacing w:val="-2"/>
          <w:sz w:val="24"/>
          <w:szCs w:val="24"/>
          <w:lang w:val="az-Latn-AZ"/>
        </w:rPr>
        <w:t xml:space="preserve">qiymətləndirici </w:t>
      </w:r>
      <w:r w:rsidR="003C64E0" w:rsidRPr="009C2EF2">
        <w:rPr>
          <w:rFonts w:ascii="Times New Roman" w:hAnsi="Times New Roman"/>
          <w:color w:val="231F20"/>
          <w:spacing w:val="1"/>
          <w:sz w:val="24"/>
          <w:szCs w:val="24"/>
          <w:lang w:val="az-Latn-AZ"/>
        </w:rPr>
        <w:t xml:space="preserve">qiymətləndirmə </w:t>
      </w:r>
      <w:r w:rsidR="003C64E0" w:rsidRPr="009C2EF2">
        <w:rPr>
          <w:rFonts w:ascii="Times New Roman" w:hAnsi="Times New Roman"/>
          <w:i/>
          <w:color w:val="231F20"/>
          <w:spacing w:val="1"/>
          <w:sz w:val="24"/>
          <w:szCs w:val="24"/>
          <w:lang w:val="az-Latn-AZ"/>
        </w:rPr>
        <w:t xml:space="preserve">məqsədinə </w:t>
      </w:r>
      <w:r w:rsidR="003C64E0" w:rsidRPr="009C2EF2">
        <w:rPr>
          <w:rFonts w:ascii="Times New Roman" w:hAnsi="Times New Roman"/>
          <w:color w:val="231F20"/>
          <w:spacing w:val="1"/>
          <w:sz w:val="24"/>
          <w:szCs w:val="24"/>
          <w:lang w:val="az-Latn-AZ"/>
        </w:rPr>
        <w:t xml:space="preserve">uyğun olmayan dəyər bazasından (və ya bazalarından) istifadə </w:t>
      </w:r>
      <w:r w:rsidR="003C64E0" w:rsidRPr="009C2EF2">
        <w:rPr>
          <w:rFonts w:ascii="Times New Roman" w:hAnsi="Times New Roman"/>
          <w:i/>
          <w:color w:val="231F20"/>
          <w:sz w:val="24"/>
          <w:szCs w:val="24"/>
          <w:lang w:val="az-Latn-AZ"/>
        </w:rPr>
        <w:t>etməməlidir</w:t>
      </w:r>
      <w:r w:rsidR="00CC0B7F"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pacing w:val="-1"/>
          <w:sz w:val="24"/>
          <w:szCs w:val="24"/>
          <w:lang w:val="az-Latn-AZ"/>
        </w:rPr>
        <w:t xml:space="preserve">(məsələn, IFRS-ə əsaslanan </w:t>
      </w:r>
      <w:r w:rsidR="003C64E0" w:rsidRPr="009C2EF2">
        <w:rPr>
          <w:rFonts w:ascii="Times New Roman" w:hAnsi="Times New Roman"/>
          <w:i/>
          <w:color w:val="231F20"/>
          <w:sz w:val="24"/>
          <w:szCs w:val="24"/>
          <w:lang w:val="az-Latn-AZ"/>
        </w:rPr>
        <w:t>maliyyə hesabatında</w:t>
      </w:r>
      <w:r w:rsidR="003C64E0"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z w:val="24"/>
          <w:szCs w:val="24"/>
          <w:lang w:val="az-Latn-AZ"/>
        </w:rPr>
        <w:t xml:space="preserve">qiymətləndiricidən </w:t>
      </w:r>
      <w:r w:rsidR="003C64E0" w:rsidRPr="009C2EF2">
        <w:rPr>
          <w:rFonts w:ascii="Times New Roman" w:hAnsi="Times New Roman"/>
          <w:color w:val="231F20"/>
          <w:spacing w:val="-1"/>
          <w:sz w:val="24"/>
          <w:szCs w:val="24"/>
          <w:lang w:val="az-Latn-AZ"/>
        </w:rPr>
        <w:t xml:space="preserve">BQS dəyər bazasından istifadə etmək tələb olunduğu təqdirdə BQS-ə uyğunluq </w:t>
      </w:r>
      <w:r w:rsidR="003C64E0" w:rsidRPr="009C2EF2">
        <w:rPr>
          <w:rFonts w:ascii="Times New Roman" w:hAnsi="Times New Roman"/>
          <w:i/>
          <w:color w:val="231F20"/>
          <w:sz w:val="24"/>
          <w:szCs w:val="24"/>
          <w:lang w:val="az-Latn-AZ"/>
        </w:rPr>
        <w:t xml:space="preserve">qiymətləndiricidən </w:t>
      </w:r>
      <w:r w:rsidR="003C64E0" w:rsidRPr="009C2EF2">
        <w:rPr>
          <w:rFonts w:ascii="Times New Roman" w:hAnsi="Times New Roman"/>
          <w:color w:val="231F20"/>
          <w:spacing w:val="-1"/>
          <w:sz w:val="24"/>
          <w:szCs w:val="24"/>
          <w:lang w:val="az-Latn-AZ"/>
        </w:rPr>
        <w:t xml:space="preserve">BQS-də qeyd olunmayan dəyər bazasından istifadə etməyi tələb edə </w:t>
      </w:r>
      <w:r w:rsidR="003C64E0" w:rsidRPr="009C2EF2">
        <w:rPr>
          <w:rFonts w:ascii="Times New Roman" w:hAnsi="Times New Roman"/>
          <w:i/>
          <w:color w:val="231F20"/>
          <w:spacing w:val="-2"/>
          <w:sz w:val="24"/>
          <w:szCs w:val="24"/>
          <w:lang w:val="az-Latn-AZ"/>
        </w:rPr>
        <w:t>bilər</w:t>
      </w:r>
      <w:r w:rsidR="003C64E0" w:rsidRPr="009C2EF2">
        <w:rPr>
          <w:rFonts w:ascii="Times New Roman" w:hAnsi="Times New Roman"/>
          <w:color w:val="231F20"/>
          <w:spacing w:val="-1"/>
          <w:sz w:val="24"/>
          <w:szCs w:val="24"/>
          <w:lang w:val="az-Latn-AZ"/>
        </w:rPr>
        <w:t>)</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99"/>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standartına uyğun olaraq dəyər bazası müəyyən edilmiş </w:t>
      </w:r>
      <w:r w:rsidRPr="009C2EF2">
        <w:rPr>
          <w:rFonts w:ascii="Times New Roman" w:hAnsi="Times New Roman"/>
          <w:i/>
          <w:color w:val="231F20"/>
          <w:spacing w:val="1"/>
          <w:sz w:val="24"/>
          <w:szCs w:val="24"/>
          <w:lang w:val="az-Latn-AZ"/>
        </w:rPr>
        <w:t xml:space="preserve">məqsədə </w:t>
      </w:r>
      <w:r w:rsidRPr="009C2EF2">
        <w:rPr>
          <w:rFonts w:ascii="Times New Roman" w:hAnsi="Times New Roman"/>
          <w:color w:val="231F20"/>
          <w:sz w:val="24"/>
          <w:szCs w:val="24"/>
          <w:lang w:val="az-Latn-AZ"/>
        </w:rPr>
        <w:t xml:space="preserve">uyğun </w:t>
      </w:r>
      <w:r w:rsidRPr="009C2EF2">
        <w:rPr>
          <w:rFonts w:ascii="Times New Roman" w:hAnsi="Times New Roman"/>
          <w:i/>
          <w:color w:val="231F20"/>
          <w:sz w:val="24"/>
          <w:szCs w:val="24"/>
          <w:lang w:val="az-Latn-AZ"/>
        </w:rPr>
        <w:t xml:space="preserve">olmalı </w:t>
      </w:r>
      <w:r w:rsidRPr="009C2EF2">
        <w:rPr>
          <w:rFonts w:ascii="Times New Roman" w:hAnsi="Times New Roman"/>
          <w:color w:val="231F20"/>
          <w:sz w:val="24"/>
          <w:szCs w:val="24"/>
          <w:lang w:val="az-Latn-AZ"/>
        </w:rPr>
        <w:t xml:space="preserve">və tətbiq olunmuş dəyər bazasının açıqlamasının götürüldüyü mənbə qeyd </w:t>
      </w:r>
      <w:r w:rsidRPr="009C2EF2">
        <w:rPr>
          <w:rFonts w:ascii="Times New Roman" w:hAnsi="Times New Roman"/>
          <w:i/>
          <w:color w:val="231F20"/>
          <w:sz w:val="24"/>
          <w:szCs w:val="24"/>
          <w:lang w:val="az-Latn-AZ"/>
        </w:rPr>
        <w:t>olunmalıdır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9"/>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lastRenderedPageBreak/>
        <w:t xml:space="preserve">Qiymətləndiricilərdən </w:t>
      </w:r>
      <w:r w:rsidRPr="009C2EF2">
        <w:rPr>
          <w:rFonts w:ascii="Times New Roman" w:hAnsi="Times New Roman"/>
          <w:color w:val="231F20"/>
          <w:sz w:val="24"/>
          <w:szCs w:val="24"/>
          <w:lang w:val="az-Latn-AZ"/>
        </w:rPr>
        <w:t>qanunu, məhkəmə təcrübəsini və tətbiq edilmiş dəyər bazaları ilə bağlı digər izahlı təlimatları bilməsi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9"/>
        </w:numPr>
        <w:tabs>
          <w:tab w:val="left" w:pos="1531"/>
        </w:tabs>
        <w:kinsoku w:val="0"/>
        <w:overflowPunct w:val="0"/>
        <w:spacing w:line="250" w:lineRule="auto"/>
        <w:ind w:right="115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standartın 90-120-ci bölmələrində təsvir edilmiş dəyər bazaları BQSŞ-dən kənar təşkilatlar tərəfindən müəyyən edilir və onlara uyğun izahatın verilməsinə görə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məsuliyyət daşıyır.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98"/>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BQS Dəyər Bazası –  Bazar Dəyəri</w:t>
      </w:r>
    </w:p>
    <w:p w:rsidR="00D02DD9" w:rsidRPr="009C2EF2" w:rsidRDefault="003C64E0">
      <w:pPr>
        <w:pStyle w:val="a3"/>
        <w:numPr>
          <w:ilvl w:val="1"/>
          <w:numId w:val="98"/>
        </w:numPr>
        <w:tabs>
          <w:tab w:val="left" w:pos="1531"/>
        </w:tabs>
        <w:kinsoku w:val="0"/>
        <w:overflowPunct w:val="0"/>
        <w:spacing w:before="122"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Dəyəri - yaxşı məlumatlandırılmış maraqlı satıcının və alıcının müvafiq marketinq tədqiqatı apardıqdan sonra qənaətcilliklə, məcburiyyət olmadan, müstəqil tərəflər arasında sövdələşmə əsasında, maraqlı alıcı ilə maraqlı satıcının münasib şərtlərlə qiymətləndirmə tarixində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passivi pula mübadilə etməyə razı </w:t>
      </w:r>
      <w:r w:rsidRPr="009C2EF2">
        <w:rPr>
          <w:rFonts w:ascii="Times New Roman" w:hAnsi="Times New Roman"/>
          <w:i/>
          <w:color w:val="231F20"/>
          <w:spacing w:val="1"/>
          <w:sz w:val="24"/>
          <w:szCs w:val="24"/>
          <w:lang w:val="az-Latn-AZ"/>
        </w:rPr>
        <w:t xml:space="preserve">olacaqları </w:t>
      </w:r>
      <w:r w:rsidRPr="009C2EF2">
        <w:rPr>
          <w:rFonts w:ascii="Times New Roman" w:hAnsi="Times New Roman"/>
          <w:color w:val="231F20"/>
          <w:sz w:val="24"/>
          <w:szCs w:val="24"/>
          <w:lang w:val="az-Latn-AZ"/>
        </w:rPr>
        <w:t>ehtimal edilən məbləğ.</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8"/>
        </w:numPr>
        <w:tabs>
          <w:tab w:val="left" w:pos="1531"/>
        </w:tabs>
        <w:kinsoku w:val="0"/>
        <w:overflowPunct w:val="0"/>
        <w:spacing w:line="250" w:lineRule="auto"/>
        <w:ind w:right="170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dəyərinin izahı aşağıda verilmiş konseptual struktura uyğun </w:t>
      </w:r>
      <w:r w:rsidRPr="009C2EF2">
        <w:rPr>
          <w:rFonts w:ascii="Times New Roman" w:hAnsi="Times New Roman"/>
          <w:i/>
          <w:color w:val="231F20"/>
          <w:sz w:val="24"/>
          <w:szCs w:val="24"/>
          <w:lang w:val="az-Latn-AZ"/>
        </w:rPr>
        <w:t>olmalıdır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98"/>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"Hesablanmış məbləğ" müstəqil tərəflər arasında bağlanmış sövdələşmə əsasında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2"/>
          <w:sz w:val="24"/>
          <w:szCs w:val="24"/>
          <w:lang w:val="az-Latn-AZ"/>
        </w:rPr>
        <w:t xml:space="preserve">üzrə ödənilən və pul şəklində ifadə olunan qiyməti ifadə edir. </w:t>
      </w:r>
      <w:r w:rsidRPr="009C2EF2">
        <w:rPr>
          <w:rFonts w:ascii="Times New Roman" w:hAnsi="Times New Roman"/>
          <w:i/>
          <w:color w:val="231F20"/>
          <w:sz w:val="24"/>
          <w:szCs w:val="24"/>
          <w:lang w:val="az-Latn-AZ"/>
        </w:rPr>
        <w:t>Bazar Dəyəri</w:t>
      </w:r>
      <w:r w:rsidRPr="009C2EF2">
        <w:rPr>
          <w:rFonts w:ascii="Times New Roman" w:hAnsi="Times New Roman"/>
          <w:color w:val="231F20"/>
          <w:spacing w:val="2"/>
          <w:sz w:val="24"/>
          <w:szCs w:val="24"/>
          <w:lang w:val="az-Latn-AZ"/>
        </w:rPr>
        <w:t xml:space="preserve"> bazar dəyəri tərifinə uyğun olaraq qiymətləndirmə tarixində bazarda ən çox ehtimal olunan qiymətdir. Bu</w:t>
      </w:r>
    </w:p>
    <w:p w:rsidR="00D02DD9" w:rsidRPr="009C2EF2" w:rsidRDefault="003C64E0">
      <w:pPr>
        <w:pStyle w:val="a3"/>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satıcı və alıcı tərəfindən əldə oluna biləcək ən əlverişli qiymətdir. Bura qeyri-səciyyəvi maliyyə, satış və qayıdış lizinq müqavilələri əsasında endirilmiş və ya qaldırılmış qiymətlər, eləcə də, satış</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4179" w:right="4353"/>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18</w:t>
      </w:r>
    </w:p>
    <w:p w:rsidR="00D02DD9" w:rsidRPr="009C2EF2" w:rsidRDefault="00D02DD9">
      <w:pPr>
        <w:pStyle w:val="a3"/>
        <w:kinsoku w:val="0"/>
        <w:overflowPunct w:val="0"/>
        <w:spacing w:before="80"/>
        <w:ind w:left="4179" w:right="4353"/>
        <w:jc w:val="center"/>
        <w:rPr>
          <w:rFonts w:ascii="Times New Roman" w:hAnsi="Times New Roman"/>
          <w:color w:val="000000"/>
          <w:sz w:val="24"/>
          <w:szCs w:val="24"/>
          <w:lang w:val="az-Latn-AZ"/>
        </w:rPr>
        <w:sectPr w:rsidR="00D02DD9" w:rsidRPr="009C2EF2">
          <w:footerReference w:type="default" r:id="rId2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6160" behindDoc="1" locked="0" layoutInCell="0" allowOverlap="1">
                <wp:simplePos x="0" y="0"/>
                <wp:positionH relativeFrom="page">
                  <wp:posOffset>5183505</wp:posOffset>
                </wp:positionH>
                <wp:positionV relativeFrom="page">
                  <wp:posOffset>0</wp:posOffset>
                </wp:positionV>
                <wp:extent cx="431800" cy="8423910"/>
                <wp:effectExtent l="0" t="0" r="0" b="0"/>
                <wp:wrapNone/>
                <wp:docPr id="2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B3E348" id="Freeform 57" o:spid="_x0000_s1026" style="position:absolute;margin-left:408.15pt;margin-top:0;width:34pt;height:663.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Ajr1cK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3809" w:right="3639"/>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left="198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və ya dəyərin hər hansı bir elementi ilə əlaqəsi olan şəxs tərəfindən konkret sahibkara və ya alıcıya təklif edilmiş güzəştli qiymətlər daxil deyil.</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2"/>
          <w:numId w:val="98"/>
        </w:numPr>
        <w:tabs>
          <w:tab w:val="left" w:pos="1985"/>
        </w:tabs>
        <w:kinsoku w:val="0"/>
        <w:overflowPunct w:val="0"/>
        <w:spacing w:line="250" w:lineRule="auto"/>
        <w:ind w:left="1984" w:right="1026"/>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2"/>
          <w:sz w:val="24"/>
          <w:szCs w:val="24"/>
          <w:lang w:val="az-Latn-AZ"/>
        </w:rPr>
        <w:t xml:space="preserve">və ya passiv mübadilə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pacing w:val="-2"/>
          <w:sz w:val="24"/>
          <w:szCs w:val="24"/>
          <w:lang w:val="az-Latn-AZ"/>
        </w:rPr>
        <w:t xml:space="preserve">" fikri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2"/>
          <w:sz w:val="24"/>
          <w:szCs w:val="24"/>
          <w:lang w:val="az-Latn-AZ"/>
        </w:rPr>
        <w:t>və ya passivin dəyərinin</w:t>
      </w:r>
      <w:r w:rsidR="00CC0B7F" w:rsidRPr="009C2EF2">
        <w:rPr>
          <w:rFonts w:ascii="Times New Roman" w:hAnsi="Times New Roman"/>
          <w:color w:val="231F20"/>
          <w:spacing w:val="-2"/>
          <w:sz w:val="24"/>
          <w:szCs w:val="24"/>
          <w:lang w:val="az-Latn-AZ"/>
        </w:rPr>
        <w:t xml:space="preserve"> </w:t>
      </w:r>
      <w:r w:rsidRPr="009C2EF2">
        <w:rPr>
          <w:rFonts w:ascii="Times New Roman" w:hAnsi="Times New Roman"/>
          <w:color w:val="231F20"/>
          <w:sz w:val="24"/>
          <w:szCs w:val="24"/>
          <w:lang w:val="az-Latn-AZ"/>
        </w:rPr>
        <w:t>qabaqcadan müəyyən edilmiş məbləğdən/faktiki satış qiymətindən daha çox hesablanmış məbləğə aid olması faktından irəli gəlir. Bu qiymətləndirmə tarixində Bazar Dəyəri tərifinin bütün elementlərinə cavab verən</w:t>
      </w:r>
      <w:r w:rsidR="00CC0B7F"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əməliyyat qiymətidir.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537609">
      <w:pPr>
        <w:pStyle w:val="a3"/>
        <w:numPr>
          <w:ilvl w:val="2"/>
          <w:numId w:val="98"/>
        </w:numPr>
        <w:tabs>
          <w:tab w:val="left" w:pos="1985"/>
        </w:tabs>
        <w:kinsoku w:val="0"/>
        <w:overflowPunct w:val="0"/>
        <w:spacing w:line="250" w:lineRule="auto"/>
        <w:ind w:left="1984" w:right="102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tarixi" qiymətləndirmə üçün müəyyən bir vaxtın nəzərdə tutulduğunu ifadə edir. Bazar və bazar şərtləri dəyişə </w:t>
      </w:r>
      <w:r w:rsidRPr="009C2EF2">
        <w:rPr>
          <w:rFonts w:ascii="Times New Roman" w:hAnsi="Times New Roman"/>
          <w:i/>
          <w:color w:val="231F20"/>
          <w:spacing w:val="-1"/>
          <w:sz w:val="24"/>
          <w:szCs w:val="24"/>
          <w:lang w:val="az-Latn-AZ"/>
        </w:rPr>
        <w:t xml:space="preserve">bildiyinə </w:t>
      </w:r>
      <w:r w:rsidRPr="009C2EF2">
        <w:rPr>
          <w:rFonts w:ascii="Times New Roman" w:hAnsi="Times New Roman"/>
          <w:color w:val="231F20"/>
          <w:spacing w:val="1"/>
          <w:sz w:val="24"/>
          <w:szCs w:val="24"/>
          <w:lang w:val="az-Latn-AZ"/>
        </w:rPr>
        <w:t>görə hesablanmış dəyər başqa vaxta</w:t>
      </w:r>
      <w:r w:rsidR="00CC0B7F"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uyğun gəlməyə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Qiymətləndirmə məbləği qiymətləndirmə tarixi üzrə bazarın vəziyyətini əks etdirəcək.</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98"/>
        </w:numPr>
        <w:tabs>
          <w:tab w:val="left" w:pos="1985"/>
        </w:tabs>
        <w:kinsoku w:val="0"/>
        <w:overflowPunct w:val="0"/>
        <w:spacing w:line="250" w:lineRule="auto"/>
        <w:ind w:left="1984" w:right="1037"/>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57376" behindDoc="0" locked="0" layoutInCell="0" allowOverlap="1">
                <wp:simplePos x="0" y="0"/>
                <wp:positionH relativeFrom="page">
                  <wp:posOffset>5276215</wp:posOffset>
                </wp:positionH>
                <wp:positionV relativeFrom="paragraph">
                  <wp:posOffset>371475</wp:posOffset>
                </wp:positionV>
                <wp:extent cx="152400" cy="2710180"/>
                <wp:effectExtent l="0" t="0" r="0" b="0"/>
                <wp:wrapNone/>
                <wp:docPr id="2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8" type="#_x0000_t202" style="position:absolute;left:0;text-align:left;margin-left:415.45pt;margin-top:29.25pt;width:12pt;height:213.4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ulsQIAALQ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pacing w:val="1"/>
          <w:sz w:val="24"/>
          <w:szCs w:val="24"/>
          <w:lang w:val="az-Latn-AZ"/>
        </w:rPr>
        <w:t>"Maraqlı alıcı" alışa həvəsləndirilən, lakin alışa məcbur edilməyən şəxsi ifadə edir. Bu alıcı nə hər hansı bir qiymətdə maraqlı, nə də s</w:t>
      </w:r>
      <w:r w:rsidR="00CC0B7F" w:rsidRPr="009C2EF2">
        <w:rPr>
          <w:rFonts w:ascii="Times New Roman" w:hAnsi="Times New Roman"/>
          <w:color w:val="231F20"/>
          <w:spacing w:val="1"/>
          <w:sz w:val="24"/>
          <w:szCs w:val="24"/>
          <w:lang w:val="az-Latn-AZ"/>
        </w:rPr>
        <w:t>atın almaqda qərarlı deyil. A</w:t>
      </w:r>
      <w:r w:rsidR="003C64E0" w:rsidRPr="009C2EF2">
        <w:rPr>
          <w:rFonts w:ascii="Times New Roman" w:hAnsi="Times New Roman"/>
          <w:color w:val="231F20"/>
          <w:spacing w:val="1"/>
          <w:sz w:val="24"/>
          <w:szCs w:val="24"/>
          <w:lang w:val="az-Latn-AZ"/>
        </w:rPr>
        <w:t>lıcı qeyri-real və hipotetik bazar tələbləri və gözləntiləri əsasında deyil, mövcud bazarın reallıqlarına və gözləntilərinə uyğun hərəkət edir. Nəzərdə tutulmuş alıcı bazarın tələb etdiyi qiymətdən daha yüksək qiyməti ödəməz. Cari sahibkar "bazarı" təşkil edənlər arasında yer alır.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98"/>
        </w:numPr>
        <w:tabs>
          <w:tab w:val="left" w:pos="1985"/>
        </w:tabs>
        <w:kinsoku w:val="0"/>
        <w:overflowPunct w:val="0"/>
        <w:spacing w:line="250" w:lineRule="auto"/>
        <w:ind w:left="1984" w:right="102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"Maraqlı satıcı" nə hər hansı qiymətdə satış etməyə maraqlı olan və ya məcbur edilən, nə də ki cari bazarda məqbul hesab edilməyən qiymətdə satışa maraqlı olan şəxsdir. Maraqlı satıcı </w:t>
      </w:r>
      <w:r w:rsidRPr="009C2EF2">
        <w:rPr>
          <w:rFonts w:ascii="Times New Roman" w:hAnsi="Times New Roman"/>
          <w:i/>
          <w:color w:val="231F20"/>
          <w:sz w:val="24"/>
          <w:szCs w:val="24"/>
          <w:lang w:val="az-Latn-AZ"/>
        </w:rPr>
        <w:t>aktivləri</w:t>
      </w:r>
      <w:r w:rsidRPr="009C2EF2">
        <w:rPr>
          <w:rFonts w:ascii="Times New Roman" w:hAnsi="Times New Roman"/>
          <w:color w:val="231F20"/>
          <w:spacing w:val="-1"/>
          <w:sz w:val="24"/>
          <w:szCs w:val="24"/>
          <w:lang w:val="az-Latn-AZ"/>
        </w:rPr>
        <w:t xml:space="preserve"> düzgün marketinq araşdırması aparmaqla</w:t>
      </w:r>
      <w:r w:rsidR="004D03B2"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açıq bazarda ən </w:t>
      </w:r>
      <w:r w:rsidRPr="009C2EF2">
        <w:rPr>
          <w:rFonts w:ascii="Times New Roman" w:hAnsi="Times New Roman"/>
          <w:i/>
          <w:color w:val="231F20"/>
          <w:spacing w:val="-2"/>
          <w:sz w:val="24"/>
          <w:szCs w:val="24"/>
          <w:lang w:val="az-Latn-AZ"/>
        </w:rPr>
        <w:t xml:space="preserve">əlverişli </w:t>
      </w:r>
      <w:r w:rsidRPr="009C2EF2">
        <w:rPr>
          <w:rFonts w:ascii="Times New Roman" w:hAnsi="Times New Roman"/>
          <w:color w:val="231F20"/>
          <w:sz w:val="24"/>
          <w:szCs w:val="24"/>
          <w:lang w:val="az-Latn-AZ"/>
        </w:rPr>
        <w:t>qiymətə satmağa</w:t>
      </w:r>
    </w:p>
    <w:p w:rsidR="00D02DD9" w:rsidRPr="009C2EF2" w:rsidRDefault="003C64E0">
      <w:pPr>
        <w:pStyle w:val="a3"/>
        <w:kinsoku w:val="0"/>
        <w:overflowPunct w:val="0"/>
        <w:spacing w:before="9" w:line="250" w:lineRule="auto"/>
        <w:ind w:left="1984"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həvəsləndirilir. Maraqlı satıcı hipotetik sahibkar olduğuna görə cari sahibkarın faktiki vəziyyəti bu qiymətləndirmənin hər hansı bir hissəsini təşkil etmir.</w:t>
      </w:r>
    </w:p>
    <w:p w:rsidR="00D02DD9" w:rsidRPr="009C2EF2" w:rsidRDefault="00D02DD9">
      <w:pPr>
        <w:pStyle w:val="a3"/>
        <w:kinsoku w:val="0"/>
        <w:overflowPunct w:val="0"/>
        <w:spacing w:before="6"/>
        <w:ind w:left="0"/>
        <w:rPr>
          <w:rFonts w:ascii="Times New Roman" w:hAnsi="Times New Roman"/>
          <w:sz w:val="24"/>
          <w:szCs w:val="24"/>
          <w:lang w:val="az-Latn-AZ"/>
        </w:rPr>
      </w:pPr>
    </w:p>
    <w:p w:rsidR="00D02DD9" w:rsidRPr="009C2EF2" w:rsidRDefault="003C64E0">
      <w:pPr>
        <w:pStyle w:val="a3"/>
        <w:numPr>
          <w:ilvl w:val="2"/>
          <w:numId w:val="98"/>
        </w:numPr>
        <w:tabs>
          <w:tab w:val="left" w:pos="1985"/>
        </w:tabs>
        <w:kinsoku w:val="0"/>
        <w:overflowPunct w:val="0"/>
        <w:spacing w:line="210" w:lineRule="atLeast"/>
        <w:ind w:left="1984" w:right="1059"/>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"Müstəqil tərəflər arasında sövdələşmə" - bir-biri ilə heç bir xüsusi əlaqəsi olmayan tərəflər (məsələn, baş və filial </w:t>
      </w:r>
      <w:r w:rsidRPr="009C2EF2">
        <w:rPr>
          <w:rFonts w:ascii="Times New Roman" w:hAnsi="Times New Roman"/>
          <w:color w:val="231F20"/>
          <w:spacing w:val="1"/>
          <w:sz w:val="24"/>
          <w:szCs w:val="24"/>
          <w:lang w:val="az-Latn-AZ"/>
        </w:rPr>
        <w:lastRenderedPageBreak/>
        <w:t xml:space="preserve">şirkətlər,  sahibkar və icarədar) arasında bazara </w:t>
      </w:r>
      <w:r w:rsidRPr="009C2EF2">
        <w:rPr>
          <w:rFonts w:ascii="Times New Roman" w:hAnsi="Times New Roman"/>
          <w:i/>
          <w:color w:val="231F20"/>
          <w:spacing w:val="-1"/>
          <w:sz w:val="24"/>
          <w:szCs w:val="24"/>
          <w:lang w:val="az-Latn-AZ"/>
        </w:rPr>
        <w:t>xas olmayan</w:t>
      </w:r>
      <w:r w:rsidRPr="009C2EF2">
        <w:rPr>
          <w:rFonts w:ascii="Times New Roman" w:hAnsi="Times New Roman"/>
          <w:color w:val="231F20"/>
          <w:spacing w:val="1"/>
          <w:sz w:val="24"/>
          <w:szCs w:val="24"/>
          <w:lang w:val="az-Latn-AZ"/>
        </w:rPr>
        <w:t xml:space="preserve"> qiymət səviyyəsini müəyyən</w:t>
      </w:r>
    </w:p>
    <w:p w:rsidR="004D03B2" w:rsidRPr="009C2EF2" w:rsidRDefault="003C64E0" w:rsidP="004D03B2">
      <w:pPr>
        <w:pStyle w:val="a3"/>
        <w:tabs>
          <w:tab w:val="left" w:pos="1984"/>
        </w:tabs>
        <w:kinsoku w:val="0"/>
        <w:overflowPunct w:val="0"/>
        <w:spacing w:line="216" w:lineRule="exact"/>
        <w:ind w:left="-48"/>
        <w:rPr>
          <w:rFonts w:ascii="Times New Roman" w:hAnsi="Times New Roman"/>
          <w:color w:val="231F20"/>
          <w:sz w:val="24"/>
          <w:szCs w:val="24"/>
          <w:lang w:val="az-Latn-AZ"/>
        </w:rPr>
      </w:pPr>
      <w:r w:rsidRPr="009C2EF2">
        <w:rPr>
          <w:rFonts w:ascii="Times New Roman" w:hAnsi="Times New Roman"/>
          <w:b/>
          <w:color w:val="FFFFFF"/>
          <w:position w:val="7"/>
          <w:sz w:val="24"/>
          <w:szCs w:val="24"/>
          <w:lang w:val="az-Latn-AZ"/>
        </w:rPr>
        <w:t>a</w:t>
      </w:r>
      <w:r w:rsidRPr="009C2EF2">
        <w:rPr>
          <w:rFonts w:ascii="Times New Roman" w:hAnsi="Times New Roman"/>
          <w:b/>
          <w:color w:val="FFFFFF"/>
          <w:position w:val="7"/>
          <w:sz w:val="24"/>
          <w:szCs w:val="24"/>
          <w:lang w:val="az-Latn-AZ"/>
        </w:rPr>
        <w:tab/>
      </w:r>
      <w:r w:rsidRPr="009C2EF2">
        <w:rPr>
          <w:rFonts w:ascii="Times New Roman" w:hAnsi="Times New Roman"/>
          <w:sz w:val="24"/>
          <w:szCs w:val="24"/>
          <w:lang w:val="az-Latn-AZ"/>
        </w:rPr>
        <w:t>edən sövdələşmədir. Bazar Dəyəri sövdələşməsi</w:t>
      </w:r>
      <w:r w:rsidR="004D03B2" w:rsidRPr="009C2EF2">
        <w:rPr>
          <w:rFonts w:ascii="Times New Roman" w:hAnsi="Times New Roman"/>
          <w:sz w:val="24"/>
          <w:szCs w:val="24"/>
          <w:lang w:val="az-Latn-AZ"/>
        </w:rPr>
        <w:t xml:space="preserve"> </w:t>
      </w:r>
      <w:r w:rsidRPr="009C2EF2">
        <w:rPr>
          <w:rFonts w:ascii="Times New Roman" w:hAnsi="Times New Roman"/>
          <w:color w:val="231F20"/>
          <w:sz w:val="24"/>
          <w:szCs w:val="24"/>
          <w:lang w:val="az-Latn-AZ"/>
        </w:rPr>
        <w:t xml:space="preserve">müstəqil tərəflər arasında </w:t>
      </w:r>
    </w:p>
    <w:p w:rsidR="00D02DD9" w:rsidRPr="009C2EF2" w:rsidRDefault="003C64E0" w:rsidP="004D03B2">
      <w:pPr>
        <w:pStyle w:val="a3"/>
        <w:tabs>
          <w:tab w:val="left" w:pos="1984"/>
        </w:tabs>
        <w:kinsoku w:val="0"/>
        <w:overflowPunct w:val="0"/>
        <w:spacing w:line="216" w:lineRule="exact"/>
        <w:ind w:left="-48" w:firstLine="2028"/>
        <w:rPr>
          <w:rFonts w:ascii="Times New Roman" w:hAnsi="Times New Roman"/>
          <w:color w:val="000000"/>
          <w:sz w:val="24"/>
          <w:szCs w:val="24"/>
          <w:lang w:val="az-Latn-AZ"/>
        </w:rPr>
      </w:pPr>
      <w:r w:rsidRPr="009C2EF2">
        <w:rPr>
          <w:rFonts w:ascii="Times New Roman" w:hAnsi="Times New Roman"/>
          <w:color w:val="231F20"/>
          <w:sz w:val="24"/>
          <w:szCs w:val="24"/>
          <w:lang w:val="az-Latn-AZ"/>
        </w:rPr>
        <w:t>aparılan sövdələşmədir.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A51157">
      <w:pPr>
        <w:pStyle w:val="a3"/>
        <w:numPr>
          <w:ilvl w:val="2"/>
          <w:numId w:val="98"/>
        </w:numPr>
        <w:tabs>
          <w:tab w:val="left" w:pos="1985"/>
        </w:tabs>
        <w:kinsoku w:val="0"/>
        <w:overflowPunct w:val="0"/>
        <w:spacing w:line="250" w:lineRule="auto"/>
        <w:ind w:left="1984" w:right="954"/>
        <w:rPr>
          <w:rFonts w:ascii="Times New Roman" w:hAnsi="Times New Roman"/>
          <w:color w:val="000000"/>
          <w:sz w:val="24"/>
          <w:szCs w:val="24"/>
          <w:lang w:val="az-Latn-AZ"/>
        </w:rPr>
      </w:pPr>
      <w:r w:rsidRPr="009C2EF2">
        <w:rPr>
          <w:rFonts w:ascii="Times New Roman" w:hAnsi="Times New Roman"/>
          <w:color w:val="231F20"/>
          <w:sz w:val="24"/>
          <w:szCs w:val="24"/>
          <w:lang w:val="az-Latn-AZ"/>
        </w:rPr>
        <w:t>"Düzgün marketinq araşdırmasından sonra" - bazar dəyəri tərifinə uyğun olaraq</w:t>
      </w:r>
      <w:r w:rsidR="004D03B2"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ən yaxşı qiymətə satılması üçün ən uyğun şəkildə bazara  çıxarılmış olması deməkdir. Satış metodu - satıcının iştirakçısı olduğu bazarda</w:t>
      </w:r>
      <w:r w:rsidR="004D03B2"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ən yaxşı qiymətin əldə olunması üçün ən uyğun metod hesab edilir. Təsir müddəti sabit deyil və bu müddət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növündən və bazar şəraitindən asılı olaraq dəyişir. Yeganə meyar -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bazar </w:t>
      </w:r>
      <w:r w:rsidRPr="009C2EF2">
        <w:rPr>
          <w:rFonts w:ascii="Times New Roman" w:hAnsi="Times New Roman"/>
          <w:i/>
          <w:color w:val="231F20"/>
          <w:sz w:val="24"/>
          <w:szCs w:val="24"/>
          <w:lang w:val="az-Latn-AZ"/>
        </w:rPr>
        <w:t xml:space="preserve">iştirakçılarının </w:t>
      </w:r>
      <w:r w:rsidRPr="009C2EF2">
        <w:rPr>
          <w:rFonts w:ascii="Times New Roman" w:hAnsi="Times New Roman"/>
          <w:color w:val="231F20"/>
          <w:sz w:val="24"/>
          <w:szCs w:val="24"/>
          <w:lang w:val="az-Latn-AZ"/>
        </w:rPr>
        <w:t xml:space="preserve">diqqətinə çatdırılmasına kifayət edəcək vaxtın </w:t>
      </w:r>
      <w:r w:rsidRPr="009C2EF2">
        <w:rPr>
          <w:rFonts w:ascii="Times New Roman" w:hAnsi="Times New Roman"/>
          <w:i/>
          <w:color w:val="231F20"/>
          <w:sz w:val="24"/>
          <w:szCs w:val="24"/>
          <w:lang w:val="az-Latn-AZ"/>
        </w:rPr>
        <w:t>tələb</w:t>
      </w:r>
      <w:r w:rsidRPr="009C2EF2">
        <w:rPr>
          <w:rFonts w:ascii="Times New Roman" w:hAnsi="Times New Roman"/>
          <w:color w:val="231F20"/>
          <w:sz w:val="24"/>
          <w:szCs w:val="24"/>
          <w:lang w:val="az-Latn-AZ"/>
        </w:rPr>
        <w:t xml:space="preserve"> olunmasıdır. Təsir müddəti qiymətləndirmə tarixindən qabaq olur.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98"/>
        </w:numPr>
        <w:tabs>
          <w:tab w:val="left" w:pos="1985"/>
        </w:tabs>
        <w:kinsoku w:val="0"/>
        <w:overflowPunct w:val="0"/>
        <w:spacing w:line="250" w:lineRule="auto"/>
        <w:ind w:left="1984" w:right="103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"Tərəflərin məlumatlı və ehtiyatlı şəkildə hərəkət etmiş olduğu" ifadəsi maraqlı alıcı ilə maraqlı satıcının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2"/>
          <w:sz w:val="24"/>
          <w:szCs w:val="24"/>
          <w:lang w:val="az-Latn-AZ"/>
        </w:rPr>
        <w:t xml:space="preserve">növü və xüsusiyyətləri, faktiki və potensial istifadəsi, o cümlədən qiymətləndirmə tarixi üzrə bazarın vəziyyəti haqqında məlumatlı olmasını ifadə edir. Bundan başqa, tərəflərin öz mövqelərinə uyğun gələn ən əlverişli qiymətin müəyyənləşdirilməsində də bu bilikdən yararlanacağı istisna edilmir. </w:t>
      </w: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spacing w:before="80"/>
        <w:ind w:left="3803" w:right="3639"/>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19</w:t>
      </w:r>
    </w:p>
    <w:p w:rsidR="00D02DD9" w:rsidRPr="009C2EF2" w:rsidRDefault="00D02DD9">
      <w:pPr>
        <w:pStyle w:val="a3"/>
        <w:kinsoku w:val="0"/>
        <w:overflowPunct w:val="0"/>
        <w:spacing w:before="80"/>
        <w:ind w:left="3803" w:right="3639"/>
        <w:jc w:val="center"/>
        <w:rPr>
          <w:rFonts w:ascii="Times New Roman" w:hAnsi="Times New Roman"/>
          <w:color w:val="000000"/>
          <w:sz w:val="24"/>
          <w:szCs w:val="24"/>
          <w:lang w:val="az-Latn-AZ"/>
        </w:rPr>
        <w:sectPr w:rsidR="00D02DD9" w:rsidRPr="009C2EF2">
          <w:footerReference w:type="default" r:id="rId25"/>
          <w:pgSz w:w="8850" w:h="13270"/>
          <w:pgMar w:top="0" w:right="0" w:bottom="0" w:left="0" w:header="0" w:footer="0" w:gutter="0"/>
          <w:cols w:space="720"/>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7184" behindDoc="1" locked="0" layoutInCell="0" allowOverlap="1">
                <wp:simplePos x="0" y="0"/>
                <wp:positionH relativeFrom="page">
                  <wp:posOffset>0</wp:posOffset>
                </wp:positionH>
                <wp:positionV relativeFrom="page">
                  <wp:posOffset>0</wp:posOffset>
                </wp:positionV>
                <wp:extent cx="432435" cy="8424545"/>
                <wp:effectExtent l="0" t="0" r="0" b="0"/>
                <wp:wrapNone/>
                <wp:docPr id="21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888CED" id="Freeform 59" o:spid="_x0000_s1026" style="position:absolute;margin-left:0;margin-top:0;width:34.05pt;height:663.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ABSYzNiAwAAhQ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4D03B2">
      <w:pPr>
        <w:pStyle w:val="a3"/>
        <w:kinsoku w:val="0"/>
        <w:overflowPunct w:val="0"/>
        <w:spacing w:before="77" w:line="250" w:lineRule="auto"/>
        <w:ind w:left="1814" w:right="128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Ehtiyatlılıq</w:t>
      </w:r>
      <w:r w:rsidRPr="009C2EF2">
        <w:rPr>
          <w:rFonts w:ascii="Times New Roman" w:hAnsi="Times New Roman"/>
          <w:color w:val="231F20"/>
          <w:sz w:val="24"/>
          <w:szCs w:val="24"/>
          <w:lang w:val="az-Latn-AZ"/>
        </w:rPr>
        <w:t xml:space="preserve"> </w:t>
      </w:r>
      <w:r w:rsidR="003C64E0" w:rsidRPr="009C2EF2">
        <w:rPr>
          <w:rFonts w:ascii="Times New Roman" w:hAnsi="Times New Roman"/>
          <w:color w:val="231F20"/>
          <w:sz w:val="24"/>
          <w:szCs w:val="24"/>
          <w:lang w:val="az-Latn-AZ"/>
        </w:rPr>
        <w:t xml:space="preserve">başqa tarixlər üzrə deyil, yalnız qiymətləndirmə tarixində bazarın mövcud vəziyyəti əsasında qiymətləndirilir. Məsələn, satıcının qiymətləri düşən bazarda </w:t>
      </w:r>
      <w:r w:rsidR="003C64E0" w:rsidRPr="009C2EF2">
        <w:rPr>
          <w:rFonts w:ascii="Times New Roman" w:hAnsi="Times New Roman"/>
          <w:i/>
          <w:color w:val="231F20"/>
          <w:sz w:val="24"/>
          <w:szCs w:val="24"/>
          <w:lang w:val="az-Latn-AZ"/>
        </w:rPr>
        <w:t xml:space="preserve">aktivləri </w:t>
      </w:r>
      <w:r w:rsidR="003C64E0" w:rsidRPr="009C2EF2">
        <w:rPr>
          <w:rFonts w:ascii="Times New Roman" w:hAnsi="Times New Roman"/>
          <w:color w:val="231F20"/>
          <w:sz w:val="24"/>
          <w:szCs w:val="24"/>
          <w:lang w:val="az-Latn-AZ"/>
        </w:rPr>
        <w:t>əvvəlki bazar səviyyələrindən daha aşağı qiymətə satması ehtiyatsızlıq demək deyil. Bu halın qiymətləri dəyişən bazarda digər valyutalar üzrə özünü doğrultduğu təqdirdə ağıllı alıcı və ya satıcı həmin vaxt üzrə mövcud olan ən yaxşı bazar məlumatlarına uyğun hərəkət edəcəkdir.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2"/>
          <w:numId w:val="98"/>
        </w:numPr>
        <w:tabs>
          <w:tab w:val="left" w:pos="1815"/>
        </w:tabs>
        <w:kinsoku w:val="0"/>
        <w:overflowPunct w:val="0"/>
        <w:spacing w:before="9" w:line="250" w:lineRule="auto"/>
        <w:ind w:left="1814"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"Məcburiyyət olmadan" - tərəflərin hər birinin</w:t>
      </w:r>
      <w:r w:rsidR="00CC0B7F"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sövdələşməni həyata keçirməyə ruhlandırılması, lakin işi başa çatdırmağa məcbur edilməməsi.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98"/>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Qiyməti - </w:t>
      </w:r>
      <w:r w:rsidRPr="009C2EF2">
        <w:rPr>
          <w:rFonts w:ascii="Times New Roman" w:hAnsi="Times New Roman"/>
          <w:i/>
          <w:color w:val="231F20"/>
          <w:sz w:val="24"/>
          <w:szCs w:val="24"/>
          <w:lang w:val="az-Latn-AZ"/>
        </w:rPr>
        <w:t xml:space="preserve">iştirakçılarının </w:t>
      </w:r>
      <w:r w:rsidRPr="009C2EF2">
        <w:rPr>
          <w:rFonts w:ascii="Times New Roman" w:hAnsi="Times New Roman"/>
          <w:color w:val="231F20"/>
          <w:sz w:val="24"/>
          <w:szCs w:val="24"/>
          <w:lang w:val="az-Latn-AZ"/>
        </w:rPr>
        <w:t xml:space="preserve">sərbəst hərəkət etdiyi açıq və rəqabətcil bazarda razılaşdırılmış qiyməti ifadə edir.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bazarı beynəlxalq və ya yerli bazar ola bilər. Bazar bir sıra alıcı və ya satıcılardan ibarət ola yaxud da məhdud sayda bazar </w:t>
      </w:r>
      <w:r w:rsidRPr="009C2EF2">
        <w:rPr>
          <w:rFonts w:ascii="Times New Roman" w:hAnsi="Times New Roman"/>
          <w:i/>
          <w:color w:val="231F20"/>
          <w:sz w:val="24"/>
          <w:szCs w:val="24"/>
          <w:lang w:val="az-Latn-AZ"/>
        </w:rPr>
        <w:t xml:space="preserve">iştirakçısı </w:t>
      </w:r>
      <w:r w:rsidRPr="009C2EF2">
        <w:rPr>
          <w:rFonts w:ascii="Times New Roman" w:hAnsi="Times New Roman"/>
          <w:color w:val="231F20"/>
          <w:sz w:val="24"/>
          <w:szCs w:val="24"/>
          <w:lang w:val="az-Latn-AZ"/>
        </w:rPr>
        <w:t xml:space="preserve">ilə xarakterizə oluna bilər.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satışa çıxarılacağı bazar</w:t>
      </w:r>
      <w:r w:rsidR="004D03B2" w:rsidRPr="009C2EF2">
        <w:rPr>
          <w:rFonts w:ascii="Times New Roman" w:hAnsi="Times New Roman"/>
          <w:color w:val="231F20"/>
          <w:sz w:val="24"/>
          <w:szCs w:val="24"/>
          <w:lang w:val="az-Latn-AZ"/>
        </w:rPr>
        <w:t xml:space="preserve"> </w:t>
      </w:r>
      <w:r w:rsidR="0075026C"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58400" behindDoc="0" locked="0" layoutInCell="0" allowOverlap="1">
                <wp:simplePos x="0" y="0"/>
                <wp:positionH relativeFrom="page">
                  <wp:posOffset>151130</wp:posOffset>
                </wp:positionH>
                <wp:positionV relativeFrom="paragraph">
                  <wp:posOffset>205105</wp:posOffset>
                </wp:positionV>
                <wp:extent cx="152400" cy="2710180"/>
                <wp:effectExtent l="0" t="0" r="0" b="0"/>
                <wp:wrapNone/>
                <wp:docPr id="2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left:0;text-align:left;margin-left:11.9pt;margin-top:16.15pt;width:12pt;height:213.4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MFtQIAALc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Pr="009C2EF2">
        <w:rPr>
          <w:rFonts w:ascii="Times New Roman" w:hAnsi="Times New Roman"/>
          <w:color w:val="231F20"/>
          <w:sz w:val="24"/>
          <w:szCs w:val="24"/>
          <w:lang w:val="az-Latn-AZ"/>
        </w:rPr>
        <w:t xml:space="preserve">şərti olaraq mübadilə olunan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adi qaydada mübadilə olunduğu bazardır.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98"/>
        </w:numPr>
        <w:tabs>
          <w:tab w:val="left" w:pos="1531"/>
        </w:tabs>
        <w:kinsoku w:val="0"/>
        <w:overflowPunct w:val="0"/>
        <w:spacing w:line="250" w:lineRule="auto"/>
        <w:ind w:right="1411"/>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Bazar Dəyəri ən yaxşı və ən səmərəli istifadəni əks etdirir (140.1-140.5 bəndlərinə baxın).  Ən yaxşı və ən səmərəli istifadə - onun potensialını maksimallaşdıran, qanuni icazəsi olan və maliyyə baxımından mümkün olan </w:t>
      </w:r>
      <w:r w:rsidRPr="009C2EF2">
        <w:rPr>
          <w:rFonts w:ascii="Times New Roman" w:hAnsi="Times New Roman"/>
          <w:i/>
          <w:color w:val="231F20"/>
          <w:sz w:val="24"/>
          <w:szCs w:val="24"/>
          <w:lang w:val="az-Latn-AZ"/>
        </w:rPr>
        <w:t>aktivlərin</w:t>
      </w:r>
      <w:r w:rsidR="004D03B2" w:rsidRPr="009C2EF2">
        <w:rPr>
          <w:rFonts w:ascii="Times New Roman" w:hAnsi="Times New Roman"/>
          <w:i/>
          <w:color w:val="231F20"/>
          <w:sz w:val="24"/>
          <w:szCs w:val="24"/>
          <w:lang w:val="az-Latn-AZ"/>
        </w:rPr>
        <w:t xml:space="preserve"> </w:t>
      </w:r>
      <w:r w:rsidRPr="009C2EF2">
        <w:rPr>
          <w:rFonts w:ascii="Times New Roman" w:hAnsi="Times New Roman"/>
          <w:color w:val="231F20"/>
          <w:sz w:val="24"/>
          <w:szCs w:val="24"/>
          <w:lang w:val="az-Latn-AZ"/>
        </w:rPr>
        <w:t xml:space="preserve">istifadə olunmasıdır. Ən yaxşı və ən səmərəli istifadə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hazırkı istifadəsinin davam etdirilməsi üçün və ya alternativ istifadələrin tətbiqi üçün nəzərdə tutula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Bu, bazar </w:t>
      </w:r>
      <w:r w:rsidRPr="009C2EF2">
        <w:rPr>
          <w:rFonts w:ascii="Times New Roman" w:hAnsi="Times New Roman"/>
          <w:i/>
          <w:color w:val="231F20"/>
          <w:spacing w:val="1"/>
          <w:sz w:val="24"/>
          <w:szCs w:val="24"/>
          <w:lang w:val="az-Latn-AZ"/>
        </w:rPr>
        <w:t xml:space="preserve">iştirakçısının </w:t>
      </w:r>
      <w:r w:rsidRPr="009C2EF2">
        <w:rPr>
          <w:rFonts w:ascii="Times New Roman" w:hAnsi="Times New Roman"/>
          <w:color w:val="231F20"/>
          <w:sz w:val="24"/>
          <w:szCs w:val="24"/>
          <w:lang w:val="az-Latn-AZ"/>
        </w:rPr>
        <w:t xml:space="preserve">təklif etmək istədiyi qiymətin formalaşdırılması zamanı </w:t>
      </w:r>
      <w:r w:rsidRPr="009C2EF2">
        <w:rPr>
          <w:rFonts w:ascii="Times New Roman" w:hAnsi="Times New Roman"/>
          <w:i/>
          <w:color w:val="231F20"/>
          <w:sz w:val="24"/>
          <w:szCs w:val="24"/>
          <w:lang w:val="az-Latn-AZ"/>
        </w:rPr>
        <w:t xml:space="preserve">aktiv </w:t>
      </w:r>
      <w:r w:rsidR="004D03B2" w:rsidRPr="009C2EF2">
        <w:rPr>
          <w:rFonts w:ascii="Times New Roman" w:hAnsi="Times New Roman"/>
          <w:color w:val="231F20"/>
          <w:sz w:val="24"/>
          <w:szCs w:val="24"/>
          <w:lang w:val="az-Latn-AZ"/>
        </w:rPr>
        <w:t>ilə bağlı</w:t>
      </w:r>
      <w:r w:rsidRPr="009C2EF2">
        <w:rPr>
          <w:rFonts w:ascii="Times New Roman" w:hAnsi="Times New Roman"/>
          <w:color w:val="231F20"/>
          <w:sz w:val="24"/>
          <w:szCs w:val="24"/>
          <w:lang w:val="az-Latn-AZ"/>
        </w:rPr>
        <w:t xml:space="preserve"> nəzərə alınacaq istifadə əsasında müəyyən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D03B2">
      <w:pPr>
        <w:pStyle w:val="a3"/>
        <w:numPr>
          <w:ilvl w:val="1"/>
          <w:numId w:val="98"/>
        </w:numPr>
        <w:tabs>
          <w:tab w:val="left" w:pos="1531"/>
        </w:tabs>
        <w:kinsoku w:val="0"/>
        <w:overflowPunct w:val="0"/>
        <w:spacing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ilə bağlı ilkin məlumatların növü və mənbəyi dəyər bazası ilə bağlı </w:t>
      </w:r>
      <w:r w:rsidRPr="009C2EF2">
        <w:rPr>
          <w:rFonts w:ascii="Times New Roman" w:hAnsi="Times New Roman"/>
          <w:i/>
          <w:color w:val="231F20"/>
          <w:sz w:val="24"/>
          <w:szCs w:val="24"/>
          <w:lang w:val="az-Latn-AZ"/>
        </w:rPr>
        <w:t>olmalı</w:t>
      </w:r>
      <w:r w:rsidRPr="009C2EF2">
        <w:rPr>
          <w:rFonts w:ascii="Times New Roman" w:hAnsi="Times New Roman"/>
          <w:color w:val="231F20"/>
          <w:sz w:val="24"/>
          <w:szCs w:val="24"/>
          <w:lang w:val="az-Latn-AZ"/>
        </w:rPr>
        <w:t xml:space="preserve">, dəyər bazası da öz növbəsində </w:t>
      </w:r>
      <w:r w:rsidRPr="009C2EF2">
        <w:rPr>
          <w:rFonts w:ascii="Times New Roman" w:hAnsi="Times New Roman"/>
          <w:i/>
          <w:color w:val="231F20"/>
          <w:sz w:val="24"/>
          <w:szCs w:val="24"/>
          <w:lang w:val="az-Latn-AZ"/>
        </w:rPr>
        <w:t>qiymətləndirmə məqsədinə</w:t>
      </w:r>
      <w:r w:rsidRPr="009C2EF2">
        <w:rPr>
          <w:rFonts w:ascii="Times New Roman" w:hAnsi="Times New Roman"/>
          <w:color w:val="231F20"/>
          <w:sz w:val="24"/>
          <w:szCs w:val="24"/>
          <w:lang w:val="az-Latn-AZ"/>
        </w:rPr>
        <w:t xml:space="preserve"> uyğun </w:t>
      </w:r>
      <w:r w:rsidRPr="009C2EF2">
        <w:rPr>
          <w:rFonts w:ascii="Times New Roman" w:hAnsi="Times New Roman"/>
          <w:i/>
          <w:color w:val="231F20"/>
          <w:sz w:val="24"/>
          <w:szCs w:val="24"/>
          <w:lang w:val="az-Latn-AZ"/>
        </w:rPr>
        <w:t>olmalıdır</w:t>
      </w:r>
      <w:r w:rsidRPr="009C2EF2">
        <w:rPr>
          <w:rFonts w:ascii="Times New Roman" w:hAnsi="Times New Roman"/>
          <w:color w:val="231F20"/>
          <w:sz w:val="24"/>
          <w:szCs w:val="24"/>
          <w:lang w:val="az-Latn-AZ"/>
        </w:rPr>
        <w:t xml:space="preserve">. Məsələn, onların bazar əsaslı məlumatlardan istifadə etdiyini göstərmək üçün </w:t>
      </w:r>
      <w:r w:rsidRPr="009C2EF2">
        <w:rPr>
          <w:rFonts w:ascii="Times New Roman" w:hAnsi="Times New Roman"/>
          <w:color w:val="231F20"/>
          <w:sz w:val="24"/>
          <w:szCs w:val="24"/>
          <w:lang w:val="az-Latn-AZ"/>
        </w:rPr>
        <w:lastRenderedPageBreak/>
        <w:t xml:space="preserve">müxtəlif yanaşmalar və metodlardan istifadə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Bazar yanaşmasında mahiyyət etibarı ilə bazar əsaslı məlumatlardan istifadə olunacaq. Bazar Dəyərini göstərmək üçün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 xml:space="preserve">tərəfindən qəbul olunacaq ehtimallar və ilkin məlumatlar əsasında gəlir yanaşması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 xml:space="preserve"> Xərc yanaşmasından istifadə edərək Bazar Dəyərini göstərmək üçün</w:t>
      </w:r>
      <w:r w:rsidR="004D03B2" w:rsidRPr="009C2EF2">
        <w:rPr>
          <w:rFonts w:ascii="Times New Roman" w:hAnsi="Times New Roman"/>
          <w:color w:val="231F20"/>
          <w:sz w:val="24"/>
          <w:szCs w:val="24"/>
          <w:lang w:val="az-Latn-AZ"/>
        </w:rPr>
        <w:t xml:space="preserve"> </w:t>
      </w:r>
      <w:r w:rsidRPr="009C2EF2">
        <w:rPr>
          <w:rFonts w:ascii="Times New Roman" w:hAnsi="Times New Roman"/>
          <w:color w:val="231F20"/>
          <w:spacing w:val="-1"/>
          <w:sz w:val="24"/>
          <w:szCs w:val="24"/>
          <w:lang w:val="az-Latn-AZ"/>
        </w:rPr>
        <w:t xml:space="preserve">eyni faydalılığa malik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xərci və qiymətdən düşməsini bazar əsaslı xərci və qiymətdən düşməni təhlil etməklə </w:t>
      </w:r>
      <w:r w:rsidRPr="009C2EF2">
        <w:rPr>
          <w:rFonts w:ascii="Times New Roman" w:hAnsi="Times New Roman"/>
          <w:i/>
          <w:color w:val="231F20"/>
          <w:spacing w:val="1"/>
          <w:sz w:val="24"/>
          <w:szCs w:val="24"/>
          <w:lang w:val="az-Latn-AZ"/>
        </w:rPr>
        <w:t>müəyyənəşdirilməlidir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8"/>
        </w:numPr>
        <w:tabs>
          <w:tab w:val="left" w:pos="1531"/>
        </w:tabs>
        <w:kinsoku w:val="0"/>
        <w:overflowPunct w:val="0"/>
        <w:spacing w:line="250" w:lineRule="auto"/>
        <w:ind w:right="158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Mövcud məlumatlar və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bazarı ilə bağlı şərtlər əsasında hansı qiymətləndirmə metodunun (və ya metodlarının) daha uyğun olduğu </w:t>
      </w:r>
      <w:r w:rsidRPr="009C2EF2">
        <w:rPr>
          <w:rFonts w:ascii="Times New Roman" w:hAnsi="Times New Roman"/>
          <w:i/>
          <w:color w:val="231F20"/>
          <w:sz w:val="24"/>
          <w:szCs w:val="24"/>
          <w:lang w:val="az-Latn-AZ"/>
        </w:rPr>
        <w:t>müəyyənləşdirilməlidir</w:t>
      </w:r>
      <w:r w:rsidRPr="009C2EF2">
        <w:rPr>
          <w:rFonts w:ascii="Times New Roman" w:hAnsi="Times New Roman"/>
          <w:color w:val="231F20"/>
          <w:sz w:val="24"/>
          <w:szCs w:val="24"/>
          <w:lang w:val="az-Latn-AZ"/>
        </w:rPr>
        <w:t xml:space="preserve">. Müvafiq qaydada təhlil edilmiş bazar əsaslı məlumatlara əsaslandırıldığı təqdirdə istifadə edilmiş metod və yanaşmaların hər biri Bazar Dəyərinin göstəricisini təmin </w:t>
      </w:r>
      <w:r w:rsidRPr="009C2EF2">
        <w:rPr>
          <w:rFonts w:ascii="Times New Roman" w:hAnsi="Times New Roman"/>
          <w:i/>
          <w:color w:val="231F20"/>
          <w:spacing w:val="1"/>
          <w:sz w:val="24"/>
          <w:szCs w:val="24"/>
          <w:lang w:val="az-Latn-AZ"/>
        </w:rPr>
        <w:t>etməlidir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8"/>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Dəyəri bazarda digər alıcılar üçün əlverişli olmayan və konkret sahibkar və alıcı üçün dəyəri olan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əlamətlərini özündə əks etdirmir. Bu kimi üstünlüklər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fiziki, coğrafi, iqtisadi və ya hüquqi xüsusiyyətləri ilə əlaqələndirilə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Bazar Dəyəri dəyərin bu kimi elementlərinin nəzərə alınmamasını tələb edir, çünki verilmiş tarixdə xüsusi maraqlı alıcının deyil, maraqlı alıcının olduğu ehtimal edilir.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2"/>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20</w:t>
      </w:r>
    </w:p>
    <w:p w:rsidR="00D02DD9" w:rsidRPr="009C2EF2" w:rsidRDefault="00D02DD9">
      <w:pPr>
        <w:pStyle w:val="a3"/>
        <w:kinsoku w:val="0"/>
        <w:overflowPunct w:val="0"/>
        <w:spacing w:before="80"/>
        <w:ind w:left="4185" w:right="4352"/>
        <w:jc w:val="center"/>
        <w:rPr>
          <w:rFonts w:ascii="Times New Roman" w:hAnsi="Times New Roman"/>
          <w:color w:val="000000"/>
          <w:sz w:val="24"/>
          <w:szCs w:val="24"/>
          <w:lang w:val="az-Latn-AZ"/>
        </w:rPr>
        <w:sectPr w:rsidR="00D02DD9" w:rsidRPr="009C2EF2">
          <w:footerReference w:type="default" r:id="rId26"/>
          <w:pgSz w:w="8850" w:h="13270"/>
          <w:pgMar w:top="0" w:right="0" w:bottom="0" w:left="0" w:header="0" w:footer="0" w:gutter="0"/>
          <w:cols w:space="720"/>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8208" behindDoc="1" locked="0" layoutInCell="0" allowOverlap="1">
                <wp:simplePos x="0" y="0"/>
                <wp:positionH relativeFrom="page">
                  <wp:posOffset>5183505</wp:posOffset>
                </wp:positionH>
                <wp:positionV relativeFrom="page">
                  <wp:posOffset>0</wp:posOffset>
                </wp:positionV>
                <wp:extent cx="431800" cy="8423910"/>
                <wp:effectExtent l="0" t="0" r="0" b="0"/>
                <wp:wrapNone/>
                <wp:docPr id="20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164E40" id="Freeform 61" o:spid="_x0000_s1026" style="position:absolute;margin-left:408.15pt;margin-top:0;width:34pt;height:663.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V77ZaX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Heading41"/>
        <w:numPr>
          <w:ilvl w:val="0"/>
          <w:numId w:val="97"/>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BQS Dəyər Bazası –  Bazar İcarə Haqqı</w:t>
      </w:r>
    </w:p>
    <w:p w:rsidR="00D02DD9" w:rsidRPr="009C2EF2" w:rsidRDefault="003C64E0">
      <w:pPr>
        <w:pStyle w:val="a3"/>
        <w:numPr>
          <w:ilvl w:val="1"/>
          <w:numId w:val="97"/>
        </w:numPr>
        <w:tabs>
          <w:tab w:val="left" w:pos="681"/>
        </w:tabs>
        <w:kinsoku w:val="0"/>
        <w:overflowPunct w:val="0"/>
        <w:spacing w:before="122" w:line="250" w:lineRule="auto"/>
        <w:ind w:left="680" w:right="1005"/>
        <w:rPr>
          <w:rFonts w:ascii="Times New Roman" w:hAnsi="Times New Roman"/>
          <w:color w:val="000000"/>
          <w:sz w:val="24"/>
          <w:szCs w:val="24"/>
          <w:lang w:val="az-Latn-AZ"/>
        </w:rPr>
      </w:pPr>
      <w:r w:rsidRPr="009C2EF2">
        <w:rPr>
          <w:rFonts w:ascii="Times New Roman" w:hAnsi="Times New Roman"/>
          <w:color w:val="231F20"/>
          <w:sz w:val="24"/>
          <w:szCs w:val="24"/>
          <w:lang w:val="az-Latn-AZ"/>
        </w:rPr>
        <w:t>Yaxşı məlumatlandırılmış maraqlı icarə verən və icarəçinin müvafiq marketinq tədqiqatı</w:t>
      </w:r>
      <w:r w:rsidR="004D03B2" w:rsidRPr="009C2EF2">
        <w:rPr>
          <w:rFonts w:ascii="Times New Roman" w:hAnsi="Times New Roman"/>
          <w:color w:val="231F20"/>
          <w:sz w:val="24"/>
          <w:szCs w:val="24"/>
          <w:lang w:val="az-Latn-AZ"/>
        </w:rPr>
        <w:t xml:space="preserve"> apardıqdan sonra qənaətcil olaraq</w:t>
      </w:r>
      <w:r w:rsidRPr="009C2EF2">
        <w:rPr>
          <w:rFonts w:ascii="Times New Roman" w:hAnsi="Times New Roman"/>
          <w:color w:val="231F20"/>
          <w:sz w:val="24"/>
          <w:szCs w:val="24"/>
          <w:lang w:val="az-Latn-AZ"/>
        </w:rPr>
        <w:t xml:space="preserve">, məcburiyyət olmadan, müstəqil tərəflər arasında sövdələşmə əsasında, münasib şərtlərlə əmlakın qiymətləndirmə tarixində icarəyə </w:t>
      </w:r>
      <w:r w:rsidRPr="009C2EF2">
        <w:rPr>
          <w:rFonts w:ascii="Times New Roman" w:hAnsi="Times New Roman"/>
          <w:i/>
          <w:color w:val="231F20"/>
          <w:spacing w:val="1"/>
          <w:sz w:val="24"/>
          <w:szCs w:val="24"/>
          <w:lang w:val="az-Latn-AZ"/>
        </w:rPr>
        <w:t xml:space="preserve">verilməsi </w:t>
      </w:r>
      <w:r w:rsidRPr="009C2EF2">
        <w:rPr>
          <w:rFonts w:ascii="Times New Roman" w:hAnsi="Times New Roman"/>
          <w:color w:val="231F20"/>
          <w:sz w:val="24"/>
          <w:szCs w:val="24"/>
          <w:lang w:val="az-Latn-AZ"/>
        </w:rPr>
        <w:t>ilə bağlı müəyyənləşdirdikləri məbləğ.</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7"/>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İcarə Haqqı icarənin və ya icarə əsasında müəyyən edilmiş faizin qiymətləndirilməsi zamanı dəyər bazası kimi istifadə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w:t>
      </w:r>
      <w:r w:rsidR="004D03B2" w:rsidRPr="009C2EF2">
        <w:rPr>
          <w:rFonts w:ascii="Times New Roman" w:hAnsi="Times New Roman"/>
          <w:color w:val="231F20"/>
          <w:sz w:val="24"/>
          <w:szCs w:val="24"/>
          <w:lang w:val="az-Latn-AZ"/>
        </w:rPr>
        <w:t>Bu kimi hallarda torpaq icarəsini</w:t>
      </w:r>
      <w:r w:rsidRPr="009C2EF2">
        <w:rPr>
          <w:rFonts w:ascii="Times New Roman" w:hAnsi="Times New Roman"/>
          <w:color w:val="231F20"/>
          <w:sz w:val="24"/>
          <w:szCs w:val="24"/>
          <w:lang w:val="az-Latn-AZ"/>
        </w:rPr>
        <w:t>, fərqli olduğu təqdirdə isə, bazar icarə haqqını nəzərə almaq lazımdır.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7"/>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Yuxarıda göstərilmiş Bazar Dəyərinin tərifini izah edən konseptual struktur Bazar İcarə Haqqının daha aydın başa düşülməsi üçün tətbiq edilə bilər.</w:t>
      </w:r>
    </w:p>
    <w:p w:rsidR="00D02DD9" w:rsidRPr="009C2EF2" w:rsidRDefault="003C64E0" w:rsidP="004D03B2">
      <w:pPr>
        <w:pStyle w:val="a3"/>
        <w:kinsoku w:val="0"/>
        <w:overflowPunct w:val="0"/>
        <w:spacing w:line="250" w:lineRule="auto"/>
        <w:ind w:left="680" w:right="1393"/>
        <w:rPr>
          <w:rFonts w:ascii="Times New Roman" w:hAnsi="Times New Roman"/>
          <w:color w:val="000000"/>
          <w:sz w:val="24"/>
          <w:szCs w:val="24"/>
          <w:lang w:val="az-Latn-AZ"/>
        </w:rPr>
      </w:pPr>
      <w:r w:rsidRPr="009C2EF2">
        <w:rPr>
          <w:rFonts w:ascii="Times New Roman" w:hAnsi="Times New Roman"/>
          <w:color w:val="231F20"/>
          <w:sz w:val="24"/>
          <w:szCs w:val="24"/>
          <w:lang w:val="az-Latn-AZ"/>
        </w:rPr>
        <w:t>Xüsusilə də, hesablanmış məbləğ xüsusi şərtlər, mülahizələr və ya güzəştlər ilə qaldırılmış və ya endirilmiş icarə haqqını istisna edir. "Müvafiq icarə</w:t>
      </w:r>
      <w:r w:rsidR="004D03B2" w:rsidRPr="009C2EF2">
        <w:rPr>
          <w:rFonts w:ascii="Times New Roman" w:hAnsi="Times New Roman"/>
          <w:color w:val="231F20"/>
          <w:sz w:val="24"/>
          <w:szCs w:val="24"/>
          <w:lang w:val="az-Latn-AZ"/>
        </w:rPr>
        <w:t xml:space="preserve"> </w:t>
      </w:r>
      <w:r w:rsidR="0075026C"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59424" behindDoc="0" locked="0" layoutInCell="0" allowOverlap="1">
                <wp:simplePos x="0" y="0"/>
                <wp:positionH relativeFrom="page">
                  <wp:posOffset>5276215</wp:posOffset>
                </wp:positionH>
                <wp:positionV relativeFrom="paragraph">
                  <wp:posOffset>269875</wp:posOffset>
                </wp:positionV>
                <wp:extent cx="152400" cy="2710180"/>
                <wp:effectExtent l="0" t="0" r="0" b="0"/>
                <wp:wrapNone/>
                <wp:docPr id="2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0" type="#_x0000_t202" style="position:absolute;left:0;text-align:left;margin-left:415.45pt;margin-top:21.25pt;width:12pt;height:213.4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Pr="009C2EF2">
        <w:rPr>
          <w:rFonts w:ascii="Times New Roman" w:hAnsi="Times New Roman"/>
          <w:color w:val="231F20"/>
          <w:sz w:val="24"/>
          <w:szCs w:val="24"/>
          <w:lang w:val="az-Latn-AZ"/>
        </w:rPr>
        <w:t xml:space="preserve">şərtləri" bazarda qiymətləndirmə tarixində əmlak növü üzrə bazar </w:t>
      </w:r>
      <w:r w:rsidRPr="009C2EF2">
        <w:rPr>
          <w:rFonts w:ascii="Times New Roman" w:hAnsi="Times New Roman"/>
          <w:i/>
          <w:color w:val="231F20"/>
          <w:sz w:val="24"/>
          <w:szCs w:val="24"/>
          <w:lang w:val="az-Latn-AZ"/>
        </w:rPr>
        <w:t xml:space="preserve">iştirakçıları </w:t>
      </w:r>
      <w:r w:rsidRPr="009C2EF2">
        <w:rPr>
          <w:rFonts w:ascii="Times New Roman" w:hAnsi="Times New Roman"/>
          <w:color w:val="231F20"/>
          <w:sz w:val="24"/>
          <w:szCs w:val="24"/>
          <w:lang w:val="az-Latn-AZ"/>
        </w:rPr>
        <w:t xml:space="preserve">arasında razılaşdırılacaq şərtlərdir. Bazar İcarə Haqqının göstəricisi yalnız nəzərdə tutulmuş əsas icarə şərtləri ilə birlikdə təmin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7"/>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Torpaq rentası faktiki icarə şərtləri üzrə ödənilməli olan icarə haqqıdır. Bu icarə müddəti ərzində sabit qala və ya dəyişə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İcarə müqaviləsində qeyd olunacaq icarə ilə bağlı variasiyaların tezliyi və bazası icarədara ödəniləcək ümumi məbləği və icarəçinin öhdəliyini müəyyən etmək məqsədi ilə izah olunmalı və başa </w:t>
      </w:r>
      <w:r w:rsidRPr="009C2EF2">
        <w:rPr>
          <w:rFonts w:ascii="Times New Roman" w:hAnsi="Times New Roman"/>
          <w:i/>
          <w:color w:val="231F20"/>
          <w:sz w:val="24"/>
          <w:szCs w:val="24"/>
          <w:lang w:val="az-Latn-AZ"/>
        </w:rPr>
        <w:t>düşülməlidirlər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7"/>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hallarda Bazar İcarə Haqqı mövcud icarə müqaviləsinin şərtləri əsasında qiymətləndirilə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 xml:space="preserve">(məsələn, icarə şərtlərinin mövcud olduğu və şərti icarə müqaviləsinin bir hissəsi hesab olunmadığı icarə haqqının müəyyənləşdirilməsi </w:t>
      </w:r>
      <w:r w:rsidRPr="009C2EF2">
        <w:rPr>
          <w:rFonts w:ascii="Times New Roman" w:hAnsi="Times New Roman"/>
          <w:i/>
          <w:color w:val="231F20"/>
          <w:sz w:val="24"/>
          <w:szCs w:val="24"/>
          <w:lang w:val="az-Latn-AZ"/>
        </w:rPr>
        <w:t xml:space="preserve">məqsədləri </w:t>
      </w:r>
      <w:r w:rsidRPr="009C2EF2">
        <w:rPr>
          <w:rFonts w:ascii="Times New Roman" w:hAnsi="Times New Roman"/>
          <w:color w:val="231F20"/>
          <w:sz w:val="24"/>
          <w:szCs w:val="24"/>
          <w:lang w:val="az-Latn-AZ"/>
        </w:rPr>
        <w:t>üzrə).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D03B2">
      <w:pPr>
        <w:pStyle w:val="a3"/>
        <w:numPr>
          <w:ilvl w:val="1"/>
          <w:numId w:val="97"/>
        </w:numPr>
        <w:tabs>
          <w:tab w:val="left" w:pos="681"/>
        </w:tabs>
        <w:kinsoku w:val="0"/>
        <w:overflowPunct w:val="0"/>
        <w:ind w:left="680" w:right="72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Bazar İcarə Haqqını hesablayarkən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aşağıdakıları nəzərə almalıdır: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97"/>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icarə müqaviləsində göstərilmiş Bazar İcarə Haqqı ilə bağlı icarə müqaviləsinin şərtləri qanunvericiliyə zidd olmadığı müddətdə həmin şərtlər uyğun icarə şərtləri hesab olunur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97"/>
        </w:numPr>
        <w:tabs>
          <w:tab w:val="left" w:pos="965"/>
        </w:tabs>
        <w:kinsoku w:val="0"/>
        <w:overflowPunct w:val="0"/>
        <w:spacing w:line="250" w:lineRule="auto"/>
        <w:ind w:left="964" w:right="118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icarə müqaviləsində qeyd olunmamış Bazar İcarə Haqqı ilə bağlı nəzərdə tutulmuş şərtlər müvafiq əmlak bazarında qiymətləndirmə tarixində bazar </w:t>
      </w:r>
      <w:r w:rsidRPr="009C2EF2">
        <w:rPr>
          <w:rFonts w:ascii="Times New Roman" w:hAnsi="Times New Roman"/>
          <w:i/>
          <w:color w:val="231F20"/>
          <w:sz w:val="24"/>
          <w:szCs w:val="24"/>
          <w:lang w:val="az-Latn-AZ"/>
        </w:rPr>
        <w:t xml:space="preserve">iştirakçıları </w:t>
      </w:r>
      <w:r w:rsidRPr="009C2EF2">
        <w:rPr>
          <w:rFonts w:ascii="Times New Roman" w:hAnsi="Times New Roman"/>
          <w:color w:val="231F20"/>
          <w:sz w:val="24"/>
          <w:szCs w:val="24"/>
          <w:lang w:val="az-Latn-AZ"/>
        </w:rPr>
        <w:t>arasında razılaşdırılacaq şərti icarə müqaviləsinin şərtləridir.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96"/>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BQS Dəyər Bazası –  Razılaşma dəyəri</w:t>
      </w:r>
    </w:p>
    <w:p w:rsidR="00D02DD9" w:rsidRPr="009C2EF2" w:rsidRDefault="003C64E0">
      <w:pPr>
        <w:pStyle w:val="a3"/>
        <w:numPr>
          <w:ilvl w:val="1"/>
          <w:numId w:val="96"/>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Razılaşma dəyəri yaxşı məlumatlandırılmış maraqlı tərəflər arasında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və ya passivin ötürülməsi üzrə ehtimal edilən qiymətdir. Bu qiymət tərəflərin müvafiq maraqlarını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6"/>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Razılaşma dəyəri sövdələşmənin müsbət və mənfi tərəflərini nəzərə almaqla tərəflər üzrə ədalətli qiymətin dəyərləndirilməsini tələb edir. Bunun əksinə olaraq Bazar Dəyəri isə bazar </w:t>
      </w:r>
      <w:r w:rsidRPr="009C2EF2">
        <w:rPr>
          <w:rFonts w:ascii="Times New Roman" w:hAnsi="Times New Roman"/>
          <w:i/>
          <w:color w:val="231F20"/>
          <w:sz w:val="24"/>
          <w:szCs w:val="24"/>
          <w:lang w:val="az-Latn-AZ"/>
        </w:rPr>
        <w:t xml:space="preserve">iştirakçılarının </w:t>
      </w:r>
      <w:r w:rsidRPr="009C2EF2">
        <w:rPr>
          <w:rFonts w:ascii="Times New Roman" w:hAnsi="Times New Roman"/>
          <w:color w:val="231F20"/>
          <w:sz w:val="24"/>
          <w:szCs w:val="24"/>
          <w:lang w:val="az-Latn-AZ"/>
        </w:rPr>
        <w:t>üzləşdiyi müsbət və ya mənfi tərəflərin ümumiyyətlə nəzərə alınmamasını  tələb edir.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2875"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21</w:t>
      </w:r>
    </w:p>
    <w:p w:rsidR="00D02DD9" w:rsidRPr="009C2EF2" w:rsidRDefault="00D02DD9">
      <w:pPr>
        <w:pStyle w:val="a3"/>
        <w:kinsoku w:val="0"/>
        <w:overflowPunct w:val="0"/>
        <w:spacing w:before="80"/>
        <w:ind w:left="2875" w:right="3725"/>
        <w:jc w:val="center"/>
        <w:rPr>
          <w:rFonts w:ascii="Times New Roman" w:hAnsi="Times New Roman"/>
          <w:color w:val="000000"/>
          <w:sz w:val="24"/>
          <w:szCs w:val="24"/>
          <w:lang w:val="az-Latn-AZ"/>
        </w:rPr>
        <w:sectPr w:rsidR="00D02DD9" w:rsidRPr="009C2EF2">
          <w:footerReference w:type="default" r:id="rId2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79232" behindDoc="1" locked="0" layoutInCell="0" allowOverlap="1">
                <wp:simplePos x="0" y="0"/>
                <wp:positionH relativeFrom="page">
                  <wp:posOffset>0</wp:posOffset>
                </wp:positionH>
                <wp:positionV relativeFrom="page">
                  <wp:posOffset>0</wp:posOffset>
                </wp:positionV>
                <wp:extent cx="432435" cy="8424545"/>
                <wp:effectExtent l="0" t="0" r="0" b="0"/>
                <wp:wrapNone/>
                <wp:docPr id="20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F0B0C9" id="Freeform 63" o:spid="_x0000_s1026" style="position:absolute;margin-left:0;margin-top:0;width:34.05pt;height:663.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qmy88W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rsidP="00CC0B7F">
      <w:pPr>
        <w:pStyle w:val="a3"/>
        <w:numPr>
          <w:ilvl w:val="1"/>
          <w:numId w:val="96"/>
        </w:numPr>
        <w:tabs>
          <w:tab w:val="left" w:pos="1531"/>
        </w:tabs>
        <w:kinsoku w:val="0"/>
        <w:overflowPunct w:val="0"/>
        <w:spacing w:before="77" w:line="250" w:lineRule="auto"/>
        <w:ind w:right="121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Razılaşma dəyəri Bazar dəyərindən daha geniş mövzudur. Tərəflər arasındakı ədalətli qiymətin bazardakı qiymətə bərabər olacağı hallarla yanaşı maraqların kombinasiyasından yaranan Sinerji Dəyərinin müəyyən elementləri kimi Razılaşma Dəyərinin qiymətləndirilməsində Bazar Dəyərində iştirak etməyən elementlərin nəzərə alındığı hallar da olacaq.</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96"/>
        </w:numPr>
        <w:tabs>
          <w:tab w:val="left" w:pos="1531"/>
        </w:tabs>
        <w:kinsoku w:val="0"/>
        <w:overflowPunct w:val="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Razılaşma Dəyərinin istifadəsi ilə bağlı nümunələrə daxildir: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96"/>
        </w:numPr>
        <w:tabs>
          <w:tab w:val="left" w:pos="1815"/>
        </w:tabs>
        <w:kinsoku w:val="0"/>
        <w:overflowPunct w:val="0"/>
        <w:spacing w:line="250" w:lineRule="auto"/>
        <w:ind w:left="1814"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 edilmiş tərəflərin aktivləri tərəflər arasındakı ədalətli qiymətin bazardakı qiymətdən fərqləndiyini ifadə </w:t>
      </w:r>
      <w:r w:rsidRPr="009C2EF2">
        <w:rPr>
          <w:rFonts w:ascii="Times New Roman" w:hAnsi="Times New Roman"/>
          <w:i/>
          <w:color w:val="231F20"/>
          <w:spacing w:val="-1"/>
          <w:sz w:val="24"/>
          <w:szCs w:val="24"/>
          <w:lang w:val="az-Latn-AZ"/>
        </w:rPr>
        <w:t xml:space="preserve">etdiyi </w:t>
      </w:r>
      <w:r w:rsidRPr="009C2EF2">
        <w:rPr>
          <w:rFonts w:ascii="Times New Roman" w:hAnsi="Times New Roman"/>
          <w:color w:val="231F20"/>
          <w:sz w:val="24"/>
          <w:szCs w:val="24"/>
          <w:lang w:val="az-Latn-AZ"/>
        </w:rPr>
        <w:t>halda fəal bazar qiyməti olmayan şirkətin səhm paketləri üzrə ədalətli qiymətin müəyyənləşdirilməsi və</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96"/>
        </w:numPr>
        <w:tabs>
          <w:tab w:val="left" w:pos="1815"/>
        </w:tabs>
        <w:kinsoku w:val="0"/>
        <w:overflowPunct w:val="0"/>
        <w:spacing w:before="9" w:line="250" w:lineRule="auto"/>
        <w:ind w:left="1814"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icarəyə verilmiş</w:t>
      </w:r>
      <w:r w:rsidR="004D03B2"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birdəfəlik transferi və ya icarə öhdəliyinin ləğvi üçün icarəyə verən və icarəyə götürən arasında ədalətli qiymətin müəyyənləşdirilməsi.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Heading41"/>
        <w:numPr>
          <w:ilvl w:val="0"/>
          <w:numId w:val="95"/>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b w:val="0"/>
          <w:noProof/>
          <w:sz w:val="24"/>
          <w:szCs w:val="24"/>
          <w:lang w:val="ru-RU" w:eastAsia="ru-RU"/>
        </w:rPr>
        <mc:AlternateContent>
          <mc:Choice Requires="wps">
            <w:drawing>
              <wp:anchor distT="0" distB="0" distL="114300" distR="114300" simplePos="0" relativeHeight="251560448" behindDoc="0" locked="0" layoutInCell="0" allowOverlap="1">
                <wp:simplePos x="0" y="0"/>
                <wp:positionH relativeFrom="page">
                  <wp:posOffset>151130</wp:posOffset>
                </wp:positionH>
                <wp:positionV relativeFrom="paragraph">
                  <wp:posOffset>-11430</wp:posOffset>
                </wp:positionV>
                <wp:extent cx="152400" cy="2710180"/>
                <wp:effectExtent l="0" t="0" r="0" b="0"/>
                <wp:wrapNone/>
                <wp:docPr id="2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1" type="#_x0000_t202" style="position:absolute;left:0;text-align:left;margin-left:11.9pt;margin-top:-.9pt;width:12pt;height:213.4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l+swIAALc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pacing w:val="2"/>
          <w:sz w:val="24"/>
          <w:szCs w:val="24"/>
          <w:lang w:val="az-Latn-AZ"/>
        </w:rPr>
        <w:t>BQS Dəyər Bazası – İnvestisiya dəyəri</w:t>
      </w:r>
    </w:p>
    <w:p w:rsidR="00D02DD9" w:rsidRPr="009C2EF2" w:rsidRDefault="003C64E0" w:rsidP="00CC0B7F">
      <w:pPr>
        <w:pStyle w:val="a3"/>
        <w:numPr>
          <w:ilvl w:val="1"/>
          <w:numId w:val="95"/>
        </w:numPr>
        <w:tabs>
          <w:tab w:val="left" w:pos="1531"/>
        </w:tabs>
        <w:kinsoku w:val="0"/>
        <w:overflowPunct w:val="0"/>
        <w:spacing w:before="122" w:line="250" w:lineRule="auto"/>
        <w:ind w:right="175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İnvestisiya Dəyəri – fərdi investisiya və ya əməliyyat məqsədləri üzrə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sahibinə və ya potensial sahibinə dəyəri.</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95"/>
        </w:numPr>
        <w:tabs>
          <w:tab w:val="left" w:pos="1531"/>
        </w:tabs>
        <w:kinsoku w:val="0"/>
        <w:overflowPunct w:val="0"/>
        <w:spacing w:line="250" w:lineRule="auto"/>
        <w:ind w:right="152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İnvestisiya Dəyəri müəssisəyə xas dəyər bazasıdır.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sahibinə dəyərinin satışdan əldə olunan məbləğlə eyni </w:t>
      </w:r>
      <w:r w:rsidRPr="009C2EF2">
        <w:rPr>
          <w:rFonts w:ascii="Times New Roman" w:hAnsi="Times New Roman"/>
          <w:i/>
          <w:color w:val="231F20"/>
          <w:spacing w:val="-1"/>
          <w:sz w:val="24"/>
          <w:szCs w:val="24"/>
          <w:lang w:val="az-Latn-AZ"/>
        </w:rPr>
        <w:t xml:space="preserve">ola </w:t>
      </w:r>
      <w:r w:rsidRPr="009C2EF2">
        <w:rPr>
          <w:rFonts w:ascii="Times New Roman" w:hAnsi="Times New Roman"/>
          <w:color w:val="231F20"/>
          <w:sz w:val="24"/>
          <w:szCs w:val="24"/>
          <w:lang w:val="az-Latn-AZ"/>
        </w:rPr>
        <w:t>bilməsinə baxmayaraq</w:t>
      </w:r>
    </w:p>
    <w:p w:rsidR="00D02DD9" w:rsidRPr="009C2EF2" w:rsidRDefault="003C64E0" w:rsidP="00CC0B7F">
      <w:pPr>
        <w:pStyle w:val="a3"/>
        <w:kinsoku w:val="0"/>
        <w:overflowPunct w:val="0"/>
        <w:spacing w:line="250" w:lineRule="auto"/>
        <w:ind w:right="118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dəyər bazası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sahibinin götürdüyü mənfəəti əks etdirir və dəyər bazasına ehtimal edilən mübadilə daxil deyil. İnvestisiya Dəyəri qiymətləndirmənin aparıldığı müəssisənin vəziyyətini və maliyyə məqsədlərini əks etdirir. İnvestisiya Dəyərindən adətən investisiya performansının qiymətləndirilməsi üçün istifadə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94"/>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BQS Dəyər Bazası – Sinerji Dəyəri</w:t>
      </w:r>
    </w:p>
    <w:p w:rsidR="00D02DD9" w:rsidRPr="009C2EF2" w:rsidRDefault="003C64E0" w:rsidP="00CC0B7F">
      <w:pPr>
        <w:pStyle w:val="a3"/>
        <w:numPr>
          <w:ilvl w:val="1"/>
          <w:numId w:val="94"/>
        </w:numPr>
        <w:tabs>
          <w:tab w:val="left" w:pos="1531"/>
        </w:tabs>
        <w:kinsoku w:val="0"/>
        <w:overflowPunct w:val="0"/>
        <w:spacing w:before="122" w:line="250" w:lineRule="auto"/>
        <w:ind w:right="118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Sinerji Dəyəri – iki və daha çox </w:t>
      </w:r>
      <w:r w:rsidRPr="009C2EF2">
        <w:rPr>
          <w:rFonts w:ascii="Times New Roman" w:hAnsi="Times New Roman"/>
          <w:i/>
          <w:color w:val="231F20"/>
          <w:sz w:val="24"/>
          <w:szCs w:val="24"/>
          <w:lang w:val="az-Latn-AZ"/>
        </w:rPr>
        <w:t xml:space="preserve">aktivin </w:t>
      </w:r>
      <w:r w:rsidR="004D03B2" w:rsidRPr="009C2EF2">
        <w:rPr>
          <w:rFonts w:ascii="Times New Roman" w:hAnsi="Times New Roman"/>
          <w:color w:val="231F20"/>
          <w:sz w:val="24"/>
          <w:szCs w:val="24"/>
          <w:lang w:val="az-Latn-AZ"/>
        </w:rPr>
        <w:t>birləşmə</w:t>
      </w:r>
      <w:r w:rsidRPr="009C2EF2">
        <w:rPr>
          <w:rFonts w:ascii="Times New Roman" w:hAnsi="Times New Roman"/>
          <w:color w:val="231F20"/>
          <w:sz w:val="24"/>
          <w:szCs w:val="24"/>
          <w:lang w:val="az-Latn-AZ"/>
        </w:rPr>
        <w:t xml:space="preserve">sinin nəticəsi olmaqla birləşdirilmiş dəyərin ayrı-ayrı dəyərlərin cəmindən </w:t>
      </w:r>
      <w:r w:rsidRPr="009C2EF2">
        <w:rPr>
          <w:rFonts w:ascii="Times New Roman" w:hAnsi="Times New Roman"/>
          <w:color w:val="231F20"/>
          <w:sz w:val="24"/>
          <w:szCs w:val="24"/>
          <w:lang w:val="az-Latn-AZ"/>
        </w:rPr>
        <w:lastRenderedPageBreak/>
        <w:t xml:space="preserve">daha çox olduğu dəyərdir. Sinerjilər yalnız konkret alıcı üçün əlverişli olduğu təqdirdə yalnız alıcı üçün dəyərli olan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xüsusi atributlarını əks etdirəcəyinə görə Sinerji Dəyəri Bazar Dəyərindən fərqlənəcək. Müvafiq maraqların məcmusu üzərində əlavə dəyər "Sinerji Dəyəri" kimi istinad edilir.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Heading41"/>
        <w:numPr>
          <w:ilvl w:val="0"/>
          <w:numId w:val="93"/>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BQS Dəyər Bazası – Ləğvetmə dəyəri </w:t>
      </w:r>
    </w:p>
    <w:p w:rsidR="00D02DD9" w:rsidRPr="009C2EF2" w:rsidRDefault="003C64E0" w:rsidP="00CC0B7F">
      <w:pPr>
        <w:pStyle w:val="a3"/>
        <w:numPr>
          <w:ilvl w:val="1"/>
          <w:numId w:val="93"/>
        </w:numPr>
        <w:tabs>
          <w:tab w:val="left" w:pos="1531"/>
        </w:tabs>
        <w:kinsoku w:val="0"/>
        <w:overflowPunct w:val="0"/>
        <w:spacing w:before="122"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Ləğvetmə Dəyəri –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və ya aktivlər </w:t>
      </w:r>
      <w:r w:rsidRPr="009C2EF2">
        <w:rPr>
          <w:rFonts w:ascii="Times New Roman" w:hAnsi="Times New Roman"/>
          <w:i/>
          <w:color w:val="231F20"/>
          <w:sz w:val="24"/>
          <w:szCs w:val="24"/>
          <w:lang w:val="az-Latn-AZ"/>
        </w:rPr>
        <w:t xml:space="preserve">qrupunun </w:t>
      </w:r>
      <w:r w:rsidRPr="009C2EF2">
        <w:rPr>
          <w:rFonts w:ascii="Times New Roman" w:hAnsi="Times New Roman"/>
          <w:color w:val="231F20"/>
          <w:sz w:val="24"/>
          <w:szCs w:val="24"/>
          <w:lang w:val="az-Latn-AZ"/>
        </w:rPr>
        <w:t xml:space="preserve">hissə-hissə satılması nəticəsində əldə olunacaq dəyər. Ləğvetmə dəyəri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əmtəə formasına çevrilməsi xərclərini, eləcə də, müvafiq fəaliyyət xərclərini nəzərə </w:t>
      </w:r>
      <w:r w:rsidRPr="009C2EF2">
        <w:rPr>
          <w:rFonts w:ascii="Times New Roman" w:hAnsi="Times New Roman"/>
          <w:i/>
          <w:color w:val="231F20"/>
          <w:spacing w:val="1"/>
          <w:sz w:val="24"/>
          <w:szCs w:val="24"/>
          <w:lang w:val="az-Latn-AZ"/>
        </w:rPr>
        <w:t>almalıdır</w:t>
      </w:r>
      <w:r w:rsidRPr="009C2EF2">
        <w:rPr>
          <w:rFonts w:ascii="Times New Roman" w:hAnsi="Times New Roman"/>
          <w:color w:val="231F20"/>
          <w:sz w:val="24"/>
          <w:szCs w:val="24"/>
          <w:lang w:val="az-Latn-AZ"/>
        </w:rPr>
        <w:t>. Ləğvetmə Dəyəri iki müxtəlif dəyərləndirmə şərti əsasında müəyyən edilə bilər: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93"/>
        </w:numPr>
        <w:tabs>
          <w:tab w:val="left" w:pos="1815"/>
        </w:tabs>
        <w:kinsoku w:val="0"/>
        <w:overflowPunct w:val="0"/>
        <w:spacing w:line="250" w:lineRule="auto"/>
        <w:ind w:right="1287"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tipik marketinq müddətinə malik olan nizamlı sövdələşmə (160-cı bölməyə baxın) və ya</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9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qısa marketinq müddətinə malik olan məcburi sövdələşmə (170-ci bölməyə baxın).</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1"/>
          <w:numId w:val="93"/>
        </w:numPr>
        <w:tabs>
          <w:tab w:val="left" w:pos="1531"/>
        </w:tabs>
        <w:kinsoku w:val="0"/>
        <w:overflowPunct w:val="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nəzərdə tutulmuş dəyərləndirmə şərtlərini açıqlamalıdır.</w:t>
      </w:r>
    </w:p>
    <w:p w:rsidR="00D02DD9" w:rsidRPr="009C2EF2" w:rsidRDefault="00D02DD9" w:rsidP="00CC0B7F">
      <w:pPr>
        <w:pStyle w:val="a3"/>
        <w:kinsoku w:val="0"/>
        <w:overflowPunct w:val="0"/>
        <w:ind w:left="0"/>
        <w:jc w:val="both"/>
        <w:rPr>
          <w:rFonts w:ascii="Times New Roman" w:hAnsi="Times New Roman"/>
          <w:sz w:val="24"/>
          <w:szCs w:val="24"/>
          <w:lang w:val="az-Latn-AZ"/>
        </w:rPr>
      </w:pPr>
    </w:p>
    <w:p w:rsidR="00D02DD9" w:rsidRPr="009C2EF2" w:rsidRDefault="00D02DD9" w:rsidP="00CC0B7F">
      <w:pPr>
        <w:pStyle w:val="a3"/>
        <w:kinsoku w:val="0"/>
        <w:overflowPunct w:val="0"/>
        <w:ind w:left="0"/>
        <w:jc w:val="both"/>
        <w:rPr>
          <w:rFonts w:ascii="Times New Roman" w:hAnsi="Times New Roman"/>
          <w:sz w:val="24"/>
          <w:szCs w:val="24"/>
          <w:lang w:val="az-Latn-AZ"/>
        </w:rPr>
      </w:pPr>
    </w:p>
    <w:p w:rsidR="00D02DD9" w:rsidRPr="009C2EF2" w:rsidRDefault="00D02DD9">
      <w:pPr>
        <w:pStyle w:val="a3"/>
        <w:kinsoku w:val="0"/>
        <w:overflowPunct w:val="0"/>
        <w:spacing w:before="5"/>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22</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2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0256" behindDoc="1" locked="0" layoutInCell="0" allowOverlap="1">
                <wp:simplePos x="0" y="0"/>
                <wp:positionH relativeFrom="page">
                  <wp:posOffset>5183505</wp:posOffset>
                </wp:positionH>
                <wp:positionV relativeFrom="page">
                  <wp:posOffset>0</wp:posOffset>
                </wp:positionV>
                <wp:extent cx="431800" cy="8423910"/>
                <wp:effectExtent l="0" t="0" r="0" b="0"/>
                <wp:wrapNone/>
                <wp:docPr id="20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949855" id="Freeform 65" o:spid="_x0000_s1026" style="position:absolute;margin-left:408.15pt;margin-top:0;width:34pt;height:663.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Q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Plxy0H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Heading41"/>
        <w:numPr>
          <w:ilvl w:val="0"/>
          <w:numId w:val="92"/>
        </w:numPr>
        <w:tabs>
          <w:tab w:val="left" w:pos="681"/>
        </w:tabs>
        <w:kinsoku w:val="0"/>
        <w:overflowPunct w:val="0"/>
        <w:spacing w:before="77" w:line="250" w:lineRule="auto"/>
        <w:ind w:right="3194"/>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Digər Dəyər Bazası – Ədalətli Dəyər (Maliyyə Hesabatlarının Beynəlxalq Standartları)</w:t>
      </w:r>
    </w:p>
    <w:p w:rsidR="00D02DD9" w:rsidRPr="009C2EF2" w:rsidRDefault="003C64E0" w:rsidP="00CC0B7F">
      <w:pPr>
        <w:pStyle w:val="a3"/>
        <w:numPr>
          <w:ilvl w:val="1"/>
          <w:numId w:val="92"/>
        </w:numPr>
        <w:tabs>
          <w:tab w:val="left" w:pos="681"/>
        </w:tabs>
        <w:kinsoku w:val="0"/>
        <w:overflowPunct w:val="0"/>
        <w:spacing w:before="113" w:line="250" w:lineRule="auto"/>
        <w:ind w:left="680" w:right="118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MHBS 13-ə əsasən Ədalətli Dəyər qiymətləndirmə tarixində bazar </w:t>
      </w:r>
      <w:r w:rsidRPr="009C2EF2">
        <w:rPr>
          <w:rFonts w:ascii="Times New Roman" w:hAnsi="Times New Roman"/>
          <w:i/>
          <w:color w:val="231F20"/>
          <w:sz w:val="24"/>
          <w:szCs w:val="24"/>
          <w:lang w:val="az-Latn-AZ"/>
        </w:rPr>
        <w:t xml:space="preserve">iştirakçıları </w:t>
      </w:r>
      <w:r w:rsidRPr="009C2EF2">
        <w:rPr>
          <w:rFonts w:ascii="Times New Roman" w:hAnsi="Times New Roman"/>
          <w:color w:val="231F20"/>
          <w:spacing w:val="-1"/>
          <w:sz w:val="24"/>
          <w:szCs w:val="24"/>
          <w:lang w:val="az-Latn-AZ"/>
        </w:rPr>
        <w:t xml:space="preserve">arasında nizamlı sövdələşmə əsasında öhdəliyin ötürülməsi ilə bağlı ödəniləcək və ya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satılması ilə bağlı qəbul olunacaq qiymətdir.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92"/>
        </w:numPr>
        <w:tabs>
          <w:tab w:val="left" w:pos="681"/>
        </w:tabs>
        <w:kinsoku w:val="0"/>
        <w:overflowPunct w:val="0"/>
        <w:spacing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Maliyyə hesabatlarının </w:t>
      </w:r>
      <w:r w:rsidRPr="009C2EF2">
        <w:rPr>
          <w:rFonts w:ascii="Times New Roman" w:hAnsi="Times New Roman"/>
          <w:i/>
          <w:color w:val="231F20"/>
          <w:sz w:val="24"/>
          <w:szCs w:val="24"/>
          <w:lang w:val="az-Latn-AZ"/>
        </w:rPr>
        <w:t xml:space="preserve">məqsədindən </w:t>
      </w:r>
      <w:r w:rsidRPr="009C2EF2">
        <w:rPr>
          <w:rFonts w:ascii="Times New Roman" w:hAnsi="Times New Roman"/>
          <w:color w:val="231F20"/>
          <w:spacing w:val="-1"/>
          <w:sz w:val="24"/>
          <w:szCs w:val="24"/>
          <w:lang w:val="az-Latn-AZ"/>
        </w:rPr>
        <w:t>asılı olaraq, 130-dan çox ölkədə Beynəlxalq Mühasibat Uçotu Standartları Şurası tərəfindən buraxılmış Beynəlxalq Mühasibat Uçotu Standartlarının tətbiqi tələb olunur. Bundan başqa, Maliyyə Uçotu Standartları Şurası (ABŞ) ədalətli Dəyərin Mövzu 820-də verilmiş tərifinə istinad edir.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Heading41"/>
        <w:numPr>
          <w:ilvl w:val="0"/>
          <w:numId w:val="91"/>
        </w:numPr>
        <w:tabs>
          <w:tab w:val="left" w:pos="681"/>
        </w:tabs>
        <w:kinsoku w:val="0"/>
        <w:overflowPunct w:val="0"/>
        <w:spacing w:line="250" w:lineRule="auto"/>
        <w:ind w:right="1186"/>
        <w:jc w:val="both"/>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Digər Dəyər Bazası – Ədalətli Dəyər (İqtisadi Əməkdaşlıq və İnkişaf Təşkilatı (İƏİT))</w:t>
      </w:r>
    </w:p>
    <w:p w:rsidR="00D02DD9" w:rsidRPr="009C2EF2" w:rsidRDefault="003C64E0" w:rsidP="00CC0B7F">
      <w:pPr>
        <w:pStyle w:val="a3"/>
        <w:numPr>
          <w:ilvl w:val="1"/>
          <w:numId w:val="91"/>
        </w:numPr>
        <w:tabs>
          <w:tab w:val="left" w:pos="681"/>
        </w:tabs>
        <w:kinsoku w:val="0"/>
        <w:overflowPunct w:val="0"/>
        <w:spacing w:before="113"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İƏİT Ədalətli Bazar dəyərini maraqlı alıcının açıq bazarda sövdələşmə əsasında maraqlı satıcıya ödəyəcəyi qiymət kimi müəyyən edir.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4D03B2" w:rsidRPr="009C2EF2" w:rsidRDefault="0075026C" w:rsidP="00CC0B7F">
      <w:pPr>
        <w:pStyle w:val="a3"/>
        <w:numPr>
          <w:ilvl w:val="1"/>
          <w:numId w:val="91"/>
        </w:numPr>
        <w:tabs>
          <w:tab w:val="left" w:pos="681"/>
        </w:tabs>
        <w:kinsoku w:val="0"/>
        <w:overflowPunct w:val="0"/>
        <w:ind w:left="680"/>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1472" behindDoc="0" locked="0" layoutInCell="0" allowOverlap="1">
                <wp:simplePos x="0" y="0"/>
                <wp:positionH relativeFrom="page">
                  <wp:posOffset>5276215</wp:posOffset>
                </wp:positionH>
                <wp:positionV relativeFrom="paragraph">
                  <wp:posOffset>-46990</wp:posOffset>
                </wp:positionV>
                <wp:extent cx="152400" cy="2710180"/>
                <wp:effectExtent l="0" t="0" r="0" b="0"/>
                <wp:wrapNone/>
                <wp:docPr id="20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2" type="#_x0000_t202" style="position:absolute;left:0;text-align:left;margin-left:415.45pt;margin-top:-3.7pt;width:12pt;height:213.4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YPsQ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4D03B2" w:rsidRPr="009C2EF2">
        <w:rPr>
          <w:rFonts w:ascii="Times New Roman" w:hAnsi="Times New Roman"/>
          <w:color w:val="231F20"/>
          <w:sz w:val="24"/>
          <w:szCs w:val="24"/>
          <w:lang w:val="az-Latn-AZ"/>
        </w:rPr>
        <w:t>İƏİT</w:t>
      </w:r>
      <w:r w:rsidR="003C64E0" w:rsidRPr="009C2EF2">
        <w:rPr>
          <w:rFonts w:ascii="Times New Roman" w:hAnsi="Times New Roman"/>
          <w:color w:val="231F20"/>
          <w:sz w:val="24"/>
          <w:szCs w:val="24"/>
          <w:lang w:val="az-Latn-AZ"/>
        </w:rPr>
        <w:t xml:space="preserve"> təlimat kitabçasından beynəlxalq vergi məqsədləri ilə bağlı bir sıra</w:t>
      </w:r>
    </w:p>
    <w:p w:rsidR="00D02DD9" w:rsidRPr="009C2EF2" w:rsidRDefault="004D03B2" w:rsidP="00CC0B7F">
      <w:pPr>
        <w:pStyle w:val="a3"/>
        <w:tabs>
          <w:tab w:val="left" w:pos="681"/>
        </w:tabs>
        <w:kinsoku w:val="0"/>
        <w:overflowPunct w:val="0"/>
        <w:ind w:left="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             </w:t>
      </w:r>
      <w:r w:rsidR="003C64E0" w:rsidRPr="009C2EF2">
        <w:rPr>
          <w:rFonts w:ascii="Times New Roman" w:hAnsi="Times New Roman"/>
          <w:color w:val="231F20"/>
          <w:sz w:val="24"/>
          <w:szCs w:val="24"/>
          <w:lang w:val="az-Latn-AZ"/>
        </w:rPr>
        <w:t xml:space="preserve"> tapşırıqlarda</w:t>
      </w:r>
      <w:r w:rsidRPr="009C2EF2">
        <w:rPr>
          <w:rFonts w:ascii="Times New Roman" w:hAnsi="Times New Roman"/>
          <w:color w:val="231F20"/>
          <w:sz w:val="24"/>
          <w:szCs w:val="24"/>
          <w:lang w:val="az-Latn-AZ"/>
        </w:rPr>
        <w:t>n</w:t>
      </w:r>
      <w:r w:rsidR="003C64E0" w:rsidRPr="009C2EF2">
        <w:rPr>
          <w:rFonts w:ascii="Times New Roman" w:hAnsi="Times New Roman"/>
          <w:color w:val="231F20"/>
          <w:sz w:val="24"/>
          <w:szCs w:val="24"/>
          <w:lang w:val="az-Latn-AZ"/>
        </w:rPr>
        <w:t xml:space="preserve"> istifadə</w:t>
      </w:r>
      <w:r w:rsidRPr="009C2EF2">
        <w:rPr>
          <w:rFonts w:ascii="Times New Roman" w:hAnsi="Times New Roman"/>
          <w:color w:val="231F20"/>
          <w:sz w:val="24"/>
          <w:szCs w:val="24"/>
          <w:lang w:val="az-Latn-AZ"/>
        </w:rPr>
        <w:t xml:space="preserve"> </w:t>
      </w:r>
      <w:r w:rsidR="003C64E0" w:rsidRPr="009C2EF2">
        <w:rPr>
          <w:rFonts w:ascii="Times New Roman" w:hAnsi="Times New Roman"/>
          <w:i/>
          <w:color w:val="231F20"/>
          <w:sz w:val="24"/>
          <w:szCs w:val="24"/>
          <w:lang w:val="az-Latn-AZ"/>
        </w:rPr>
        <w:t>olunur</w:t>
      </w:r>
      <w:r w:rsidR="003C64E0" w:rsidRPr="009C2EF2">
        <w:rPr>
          <w:rFonts w:ascii="Times New Roman" w:hAnsi="Times New Roman"/>
          <w:color w:val="231F20"/>
          <w:sz w:val="24"/>
          <w:szCs w:val="24"/>
          <w:lang w:val="az-Latn-AZ"/>
        </w:rPr>
        <w:t>.</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Heading41"/>
        <w:numPr>
          <w:ilvl w:val="0"/>
          <w:numId w:val="90"/>
        </w:numPr>
        <w:tabs>
          <w:tab w:val="left" w:pos="681"/>
        </w:tabs>
        <w:kinsoku w:val="0"/>
        <w:overflowPunct w:val="0"/>
        <w:spacing w:line="250" w:lineRule="auto"/>
        <w:ind w:right="2790"/>
        <w:jc w:val="both"/>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Digər Dəyər Bazaları – Ədalətli Bazar Dəyəri (Birləşmiş Ştatlar Daxili Gəlir Xidməti)</w:t>
      </w:r>
    </w:p>
    <w:p w:rsidR="00D02DD9" w:rsidRPr="009C2EF2" w:rsidRDefault="003C64E0" w:rsidP="00CC0B7F">
      <w:pPr>
        <w:pStyle w:val="a3"/>
        <w:numPr>
          <w:ilvl w:val="1"/>
          <w:numId w:val="90"/>
        </w:numPr>
        <w:tabs>
          <w:tab w:val="left" w:pos="681"/>
        </w:tabs>
        <w:kinsoku w:val="0"/>
        <w:overflowPunct w:val="0"/>
        <w:spacing w:before="113" w:line="250" w:lineRule="auto"/>
        <w:ind w:left="680" w:right="98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Amerika Birləşmiş Ştatlarının vergi </w:t>
      </w:r>
      <w:r w:rsidRPr="009C2EF2">
        <w:rPr>
          <w:rFonts w:ascii="Times New Roman" w:hAnsi="Times New Roman"/>
          <w:i/>
          <w:color w:val="231F20"/>
          <w:sz w:val="24"/>
          <w:szCs w:val="24"/>
          <w:lang w:val="az-Latn-AZ"/>
        </w:rPr>
        <w:t xml:space="preserve">məqsədləri </w:t>
      </w:r>
      <w:r w:rsidRPr="009C2EF2">
        <w:rPr>
          <w:rFonts w:ascii="Times New Roman" w:hAnsi="Times New Roman"/>
          <w:color w:val="231F20"/>
          <w:spacing w:val="-1"/>
          <w:sz w:val="24"/>
          <w:szCs w:val="24"/>
          <w:lang w:val="az-Latn-AZ"/>
        </w:rPr>
        <w:t>ilə bağlı §20.2031-1 saylı Əsasnamədə qeyd olunur: "Ədalətli bazar dəyəri alqı-satqı ilə bağlı heç bir məcburiyyət olmadan əmlakın müvafiq faktlar haqqında məqbul biliyə malik olan maraqlı alıcı və maraqlı satıcı arasında mübadilə edildiyi qiymətdir."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pPr>
        <w:pStyle w:val="Heading41"/>
        <w:numPr>
          <w:ilvl w:val="0"/>
          <w:numId w:val="89"/>
        </w:numPr>
        <w:tabs>
          <w:tab w:val="left" w:pos="681"/>
        </w:tabs>
        <w:kinsoku w:val="0"/>
        <w:overflowPunct w:val="0"/>
        <w:spacing w:line="250" w:lineRule="auto"/>
        <w:ind w:right="2772"/>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Müxtəlif yurisdiksiyalar əsasında Digər Dəyər Bazaları – Ədalətli Bazar Dəyəri</w:t>
      </w:r>
    </w:p>
    <w:p w:rsidR="00D02DD9" w:rsidRPr="009C2EF2" w:rsidRDefault="003C64E0" w:rsidP="00CC0B7F">
      <w:pPr>
        <w:pStyle w:val="a3"/>
        <w:numPr>
          <w:ilvl w:val="1"/>
          <w:numId w:val="89"/>
        </w:numPr>
        <w:tabs>
          <w:tab w:val="left" w:pos="681"/>
        </w:tabs>
        <w:kinsoku w:val="0"/>
        <w:overflowPunct w:val="0"/>
        <w:spacing w:before="113"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Bir sıra milli, dövlət və yerli təşkilatlar hüquqi kontekstdə dəyər bazası kimi Ədalətli Dəyərdən istifadə edir. Təriflər bir-birindən </w:t>
      </w:r>
      <w:r w:rsidRPr="009C2EF2">
        <w:rPr>
          <w:rFonts w:ascii="Times New Roman" w:hAnsi="Times New Roman"/>
          <w:i/>
          <w:color w:val="231F20"/>
          <w:sz w:val="24"/>
          <w:szCs w:val="24"/>
          <w:lang w:val="az-Latn-AZ"/>
        </w:rPr>
        <w:lastRenderedPageBreak/>
        <w:t>əhəmiyyətli şəkildə</w:t>
      </w:r>
      <w:r w:rsidRPr="009C2EF2">
        <w:rPr>
          <w:rFonts w:ascii="Times New Roman" w:hAnsi="Times New Roman"/>
          <w:color w:val="231F20"/>
          <w:spacing w:val="-1"/>
          <w:sz w:val="24"/>
          <w:szCs w:val="24"/>
          <w:lang w:val="az-Latn-AZ"/>
        </w:rPr>
        <w:t xml:space="preserve"> fərqlənə bilər və onlar qanunvericilik aktının nəticəsi və ya əvvəlki məhkəmə qərarları əsasında məhkəmələr tərəfindən müəyyən edilmiş nəticələr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9"/>
        </w:numPr>
        <w:tabs>
          <w:tab w:val="left" w:pos="681"/>
        </w:tabs>
        <w:kinsoku w:val="0"/>
        <w:overflowPunct w:val="0"/>
        <w:ind w:left="68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Aşağıda ABŞ və Kanadanın Ədalətli Dəyər üzrə tərif nümunələri verilib:</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4D03B2" w:rsidP="00CC0B7F">
      <w:pPr>
        <w:pStyle w:val="a3"/>
        <w:numPr>
          <w:ilvl w:val="2"/>
          <w:numId w:val="89"/>
        </w:numPr>
        <w:tabs>
          <w:tab w:val="left" w:pos="965"/>
        </w:tabs>
        <w:kinsoku w:val="0"/>
        <w:overflowPunct w:val="0"/>
        <w:spacing w:line="250" w:lineRule="auto"/>
        <w:ind w:left="964"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Korpor</w:t>
      </w:r>
      <w:r w:rsidR="003C64E0" w:rsidRPr="009C2EF2">
        <w:rPr>
          <w:rFonts w:ascii="Times New Roman" w:hAnsi="Times New Roman"/>
          <w:color w:val="231F20"/>
          <w:sz w:val="24"/>
          <w:szCs w:val="24"/>
          <w:lang w:val="az-Latn-AZ"/>
        </w:rPr>
        <w:t>asiyalar haqqında Akt Modeli (M</w:t>
      </w:r>
      <w:r w:rsidRPr="009C2EF2">
        <w:rPr>
          <w:rFonts w:ascii="Times New Roman" w:hAnsi="Times New Roman"/>
          <w:color w:val="231F20"/>
          <w:sz w:val="24"/>
          <w:szCs w:val="24"/>
          <w:lang w:val="az-Latn-AZ"/>
        </w:rPr>
        <w:t>BCA) Amerika Hüquqşünaslar Asso</w:t>
      </w:r>
      <w:r w:rsidR="003C64E0" w:rsidRPr="009C2EF2">
        <w:rPr>
          <w:rFonts w:ascii="Times New Roman" w:hAnsi="Times New Roman"/>
          <w:color w:val="231F20"/>
          <w:sz w:val="24"/>
          <w:szCs w:val="24"/>
          <w:lang w:val="az-Latn-AZ"/>
        </w:rPr>
        <w:t>siasiyasının Sahibkarlıq hüququnun Korporasiya Hüquqları üzrə Komitəsi tərəfindən hazırlanmış qanun sistemi modelidir və bu model ABŞ-ın 24 ştatında tətbiq olunur.  MBCA-nın verdiyi tərifə görə Ədalətli Dəyər  aşağıdakı korporasiya səhmlərinin dəyəridir: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3"/>
          <w:numId w:val="89"/>
        </w:numPr>
        <w:tabs>
          <w:tab w:val="left" w:pos="1248"/>
        </w:tabs>
        <w:kinsoku w:val="0"/>
        <w:overflowPunct w:val="0"/>
        <w:spacing w:line="250" w:lineRule="auto"/>
        <w:ind w:left="1247" w:right="1186" w:hanging="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səhmdarın etiraz etdiyi korporativ fəaliyyət icra edilməzdən dərhal öncə müəyyən edilmiş korporasiya səhmlərinin,</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3"/>
          <w:numId w:val="89"/>
        </w:numPr>
        <w:tabs>
          <w:tab w:val="left" w:pos="1248"/>
        </w:tabs>
        <w:kinsoku w:val="0"/>
        <w:overflowPunct w:val="0"/>
        <w:spacing w:line="250" w:lineRule="auto"/>
        <w:ind w:left="1247" w:right="1446" w:hanging="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tələb edən sövdələşmə kontekstində oxşar müəssisələrdə istifadə edilmiş ənənəvi və cari qiymətləndirmə anlayışları və texnikaları əsasında müəyyən edilmiş korporasiya səhmlərinin və</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3"/>
          <w:numId w:val="89"/>
        </w:numPr>
        <w:tabs>
          <w:tab w:val="left" w:pos="1225"/>
        </w:tabs>
        <w:kinsoku w:val="0"/>
        <w:overflowPunct w:val="0"/>
        <w:spacing w:line="250" w:lineRule="auto"/>
        <w:ind w:left="1247" w:right="1088" w:hanging="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uyğun olduğu təqdirdə, 13.02(a)(5) bölməsinə uyğun maddələrə ediləcək dəyişikliklər istisna olunmaqla rəqabət qabiliyyətinin  aşağı olması ilə və ya azlıq statusu ilə bağlı güzəştə getmədən müəyyən edilmiş korporasiya səhmlərinin.</w:t>
      </w: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23</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2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1280" behindDoc="1" locked="0" layoutInCell="0" allowOverlap="1">
                <wp:simplePos x="0" y="0"/>
                <wp:positionH relativeFrom="page">
                  <wp:posOffset>0</wp:posOffset>
                </wp:positionH>
                <wp:positionV relativeFrom="page">
                  <wp:posOffset>0</wp:posOffset>
                </wp:positionV>
                <wp:extent cx="432435" cy="8424545"/>
                <wp:effectExtent l="0" t="0" r="0" b="0"/>
                <wp:wrapNone/>
                <wp:docPr id="20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A641E8" id="Freeform 67" o:spid="_x0000_s1026" style="position:absolute;margin-left:0;margin-top:0;width:34.05pt;height:663.3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D+dzfP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CC0B7F">
      <w:pPr>
        <w:pStyle w:val="a3"/>
        <w:numPr>
          <w:ilvl w:val="2"/>
          <w:numId w:val="89"/>
        </w:numPr>
        <w:tabs>
          <w:tab w:val="left" w:pos="1815"/>
        </w:tabs>
        <w:kinsoku w:val="0"/>
        <w:overflowPunct w:val="0"/>
        <w:spacing w:before="77" w:line="250" w:lineRule="auto"/>
        <w:ind w:left="1814" w:right="117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1986-cı ildə Kanadanın Britaniya Kolumbiyası əyalətinin Ali Məhkəməsi </w:t>
      </w:r>
      <w:r w:rsidRPr="009C2EF2">
        <w:rPr>
          <w:rFonts w:ascii="Times New Roman" w:hAnsi="Times New Roman"/>
          <w:i/>
          <w:color w:val="231F20"/>
          <w:sz w:val="24"/>
          <w:szCs w:val="24"/>
          <w:lang w:val="az-Latn-AZ"/>
        </w:rPr>
        <w:t>Manning v Harris Steel Group Inc</w:t>
      </w:r>
      <w:r w:rsidRPr="009C2EF2">
        <w:rPr>
          <w:rFonts w:ascii="Times New Roman" w:hAnsi="Times New Roman"/>
          <w:color w:val="231F20"/>
          <w:sz w:val="24"/>
          <w:szCs w:val="24"/>
          <w:lang w:val="az-Latn-AZ"/>
        </w:rPr>
        <w:t xml:space="preserve">.-də qanun </w:t>
      </w:r>
      <w:r w:rsidR="00D54817" w:rsidRPr="009C2EF2">
        <w:rPr>
          <w:rFonts w:ascii="Times New Roman" w:hAnsi="Times New Roman"/>
          <w:color w:val="231F20"/>
          <w:sz w:val="24"/>
          <w:szCs w:val="24"/>
          <w:lang w:val="az-Latn-AZ"/>
        </w:rPr>
        <w:t xml:space="preserve">qəbul edib, qanunda deyilirdi: </w:t>
      </w:r>
      <w:r w:rsidRPr="009C2EF2">
        <w:rPr>
          <w:rFonts w:ascii="Times New Roman" w:hAnsi="Times New Roman"/>
          <w:color w:val="231F20"/>
          <w:sz w:val="24"/>
          <w:szCs w:val="24"/>
          <w:lang w:val="az-Latn-AZ"/>
        </w:rPr>
        <w:t>"Ədalətli" dəyər düzgün və bərabər olan dəyərdir. Bu terminologiya ədalət və qərəzsizlik tələbləri ilə bərabər adekvat kompensasiya (təzminat) anlayışını da ehtiva edir."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Heading41"/>
        <w:numPr>
          <w:ilvl w:val="0"/>
          <w:numId w:val="88"/>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Dəyərləndirmə şərtləri/Təxmin edilmiş İstifadə</w:t>
      </w:r>
    </w:p>
    <w:p w:rsidR="00D02DD9" w:rsidRPr="009C2EF2" w:rsidRDefault="003C64E0" w:rsidP="00CC0B7F">
      <w:pPr>
        <w:pStyle w:val="a3"/>
        <w:numPr>
          <w:ilvl w:val="1"/>
          <w:numId w:val="88"/>
        </w:numPr>
        <w:tabs>
          <w:tab w:val="left" w:pos="1531"/>
        </w:tabs>
        <w:kinsoku w:val="0"/>
        <w:overflowPunct w:val="0"/>
        <w:spacing w:before="122" w:line="250" w:lineRule="auto"/>
        <w:ind w:right="118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Dəyərləndirmə Şərtləri və ya Təxmin edilmiş İstifadə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və ya passivlərin istifadə olunma hallarını təsvir edir.  Müxtəlif dəyər bazaları xüsusi Dəyərləndirmə şərtlərini tələb edə və ya bir çox dəyərləndirmə şərtlərinin tətbiqinə icazə verə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Əsas Dəyərləndirmə şərtlərinə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8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ən yaxşı və ən səmərəli istifadə,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8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cari/mövcud İstifadə,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8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nizamlı ləğvetmə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pPr>
        <w:pStyle w:val="a3"/>
        <w:numPr>
          <w:ilvl w:val="2"/>
          <w:numId w:val="8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2496" behindDoc="0" locked="0" layoutInCell="0" allowOverlap="1">
                <wp:simplePos x="0" y="0"/>
                <wp:positionH relativeFrom="page">
                  <wp:posOffset>151130</wp:posOffset>
                </wp:positionH>
                <wp:positionV relativeFrom="paragraph">
                  <wp:posOffset>-53975</wp:posOffset>
                </wp:positionV>
                <wp:extent cx="152400" cy="2710180"/>
                <wp:effectExtent l="0" t="0" r="0" b="0"/>
                <wp:wrapNone/>
                <wp:docPr id="20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3" type="#_x0000_t202" style="position:absolute;left:0;text-align:left;margin-left:11.9pt;margin-top:-4.25pt;width:12pt;height:213.4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pacing w:val="1"/>
          <w:sz w:val="24"/>
          <w:szCs w:val="24"/>
          <w:lang w:val="az-Latn-AZ"/>
        </w:rPr>
        <w:t>Məcburi Satış.</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8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Dəyərləndirmə Şərtləri – Ən Yaxşı və Səmərəli İstifadə</w:t>
      </w:r>
    </w:p>
    <w:p w:rsidR="00D02DD9" w:rsidRPr="009C2EF2" w:rsidRDefault="003C64E0" w:rsidP="00CC0B7F">
      <w:pPr>
        <w:pStyle w:val="a3"/>
        <w:numPr>
          <w:ilvl w:val="1"/>
          <w:numId w:val="87"/>
        </w:numPr>
        <w:tabs>
          <w:tab w:val="left" w:pos="1531"/>
        </w:tabs>
        <w:kinsoku w:val="0"/>
        <w:overflowPunct w:val="0"/>
        <w:spacing w:before="122" w:line="250" w:lineRule="auto"/>
        <w:ind w:right="136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Ən yaxşı və ən səmərəli istifadə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marağına uyğun gələn, eləcə də,</w:t>
      </w:r>
      <w:r w:rsidR="00D54817"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üzrə ən yaxşı qiymət təklifi edən istifadədir. Bu anlayışın, əsasən, qeyri-maliyyə </w:t>
      </w:r>
      <w:r w:rsidRPr="009C2EF2">
        <w:rPr>
          <w:rFonts w:ascii="Times New Roman" w:hAnsi="Times New Roman"/>
          <w:i/>
          <w:color w:val="231F20"/>
          <w:sz w:val="24"/>
          <w:szCs w:val="24"/>
          <w:lang w:val="az-Latn-AZ"/>
        </w:rPr>
        <w:t xml:space="preserve">aktivlərinə </w:t>
      </w:r>
      <w:r w:rsidRPr="009C2EF2">
        <w:rPr>
          <w:rFonts w:ascii="Times New Roman" w:hAnsi="Times New Roman"/>
          <w:color w:val="231F20"/>
          <w:sz w:val="24"/>
          <w:szCs w:val="24"/>
          <w:lang w:val="az-Latn-AZ"/>
        </w:rPr>
        <w:t xml:space="preserve">aid olmasına baxmayaraq, əksər maliyyə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 xml:space="preserve">alternativ istifadəsi olmadığına görə maliyyə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 xml:space="preserve">ən yaxşı və ən səmərəli istifadəsinin nəzərə alınacağı hallar da </w:t>
      </w:r>
      <w:r w:rsidRPr="009C2EF2">
        <w:rPr>
          <w:rFonts w:ascii="Times New Roman" w:hAnsi="Times New Roman"/>
          <w:i/>
          <w:color w:val="231F20"/>
          <w:spacing w:val="-1"/>
          <w:sz w:val="24"/>
          <w:szCs w:val="24"/>
          <w:lang w:val="az-Latn-AZ"/>
        </w:rPr>
        <w:t>istisna edilmir</w:t>
      </w:r>
      <w:r w:rsidRPr="009C2EF2">
        <w:rPr>
          <w:rFonts w:ascii="Times New Roman" w:hAnsi="Times New Roman"/>
          <w:color w:val="231F20"/>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7"/>
        </w:numPr>
        <w:tabs>
          <w:tab w:val="left" w:pos="1531"/>
        </w:tabs>
        <w:kinsoku w:val="0"/>
        <w:overflowPunct w:val="0"/>
        <w:spacing w:line="250" w:lineRule="auto"/>
        <w:ind w:right="146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Ən yaxşı və ən səmərəli istifadə həm fiziki (uyğun olduğu təqdirdə), həm maliyyə, həm də qanuni baxımdan mümkün olmalıdır və dəyəri </w:t>
      </w:r>
      <w:r w:rsidRPr="009C2EF2">
        <w:rPr>
          <w:rFonts w:ascii="Times New Roman" w:hAnsi="Times New Roman"/>
          <w:i/>
          <w:color w:val="231F20"/>
          <w:sz w:val="24"/>
          <w:szCs w:val="24"/>
          <w:lang w:val="az-Latn-AZ"/>
        </w:rPr>
        <w:t>maksimallaşdırmalıdır</w:t>
      </w:r>
      <w:r w:rsidRPr="009C2EF2">
        <w:rPr>
          <w:rFonts w:ascii="Times New Roman" w:hAnsi="Times New Roman"/>
          <w:color w:val="231F20"/>
          <w:sz w:val="24"/>
          <w:szCs w:val="24"/>
          <w:lang w:val="az-Latn-AZ"/>
        </w:rPr>
        <w:t xml:space="preserve">. Cari istifadədən fərqləndiyi təqdirdə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ən yaxşı və ən səmərəli istifadəsi ilə bağlı xərclər dəyərə təsir edə bilər.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7"/>
        </w:numPr>
        <w:tabs>
          <w:tab w:val="left" w:pos="1531"/>
        </w:tabs>
        <w:kinsoku w:val="0"/>
        <w:overflowPunct w:val="0"/>
        <w:spacing w:line="250" w:lineRule="auto"/>
        <w:ind w:right="141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Aktivin ən yaxşı və ən səmərəli istifadəsi optimal şəkildə istifadə edildiyi zaman onun cari və mövcud istifadəsi ola </w:t>
      </w:r>
      <w:r w:rsidRPr="009C2EF2">
        <w:rPr>
          <w:rFonts w:ascii="Times New Roman" w:hAnsi="Times New Roman"/>
          <w:i/>
          <w:color w:val="231F20"/>
          <w:sz w:val="24"/>
          <w:szCs w:val="24"/>
          <w:lang w:val="az-Latn-AZ"/>
        </w:rPr>
        <w:lastRenderedPageBreak/>
        <w:t>bilər</w:t>
      </w:r>
      <w:r w:rsidRPr="009C2EF2">
        <w:rPr>
          <w:rFonts w:ascii="Times New Roman" w:hAnsi="Times New Roman"/>
          <w:color w:val="231F20"/>
          <w:sz w:val="24"/>
          <w:szCs w:val="24"/>
          <w:lang w:val="az-Latn-AZ"/>
        </w:rPr>
        <w:t xml:space="preserve">. Lakin ən yaxşı və ən səmərəli istifadə cari istifadədən, hətta nizamlı ləğvetmədən fərqli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7"/>
        </w:numPr>
        <w:tabs>
          <w:tab w:val="left" w:pos="1531"/>
        </w:tabs>
        <w:kinsoku w:val="0"/>
        <w:overflowPunct w:val="0"/>
        <w:spacing w:line="250" w:lineRule="auto"/>
        <w:ind w:right="122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Müstəqil əsasda dəyərləndirilən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z w:val="24"/>
          <w:szCs w:val="24"/>
          <w:lang w:val="az-Latn-AZ"/>
        </w:rPr>
        <w:t xml:space="preserve">ən yaxşı və ən səmərəli istifadə, onun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qrupunun ümumi dəyəri üzrə iştirakı </w:t>
      </w:r>
      <w:r w:rsidRPr="009C2EF2">
        <w:rPr>
          <w:rFonts w:ascii="Times New Roman" w:hAnsi="Times New Roman"/>
          <w:i/>
          <w:color w:val="231F20"/>
          <w:sz w:val="24"/>
          <w:szCs w:val="24"/>
          <w:lang w:val="az-Latn-AZ"/>
        </w:rPr>
        <w:t xml:space="preserve">nəzərə  </w:t>
      </w:r>
      <w:r w:rsidRPr="009C2EF2">
        <w:rPr>
          <w:rFonts w:ascii="Times New Roman" w:hAnsi="Times New Roman"/>
          <w:color w:val="231F20"/>
          <w:sz w:val="24"/>
          <w:szCs w:val="24"/>
          <w:lang w:val="az-Latn-AZ"/>
        </w:rPr>
        <w:t xml:space="preserve">alınmış olarsa, aktivlər qrupunun tərkib hissəsi kimi ən yaxşı və ən səmərəli istifadəsindən fərqlənə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7"/>
        </w:numPr>
        <w:tabs>
          <w:tab w:val="left" w:pos="1531"/>
        </w:tabs>
        <w:kinsoku w:val="0"/>
        <w:overflowPunct w:val="0"/>
        <w:spacing w:line="250" w:lineRule="auto"/>
        <w:ind w:right="127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Ən yaxşı və ən səmərəli istifadənin müəyyənləşdirilməsi zamanı aşağıdakılar nəzərə alınmalıdır: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7"/>
        </w:numPr>
        <w:tabs>
          <w:tab w:val="left" w:pos="1815"/>
        </w:tabs>
        <w:kinsoku w:val="0"/>
        <w:overflowPunct w:val="0"/>
        <w:spacing w:line="250" w:lineRule="auto"/>
        <w:ind w:left="1814" w:right="1411"/>
        <w:jc w:val="both"/>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Istifadənin fiziki olaraq mümkün olub-olmadığını müəyyənləşdirmək məqsədi ilə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8"/>
          <w:sz w:val="24"/>
          <w:szCs w:val="24"/>
          <w:lang w:val="az-Latn-AZ"/>
        </w:rPr>
        <w:t>tərəfindən əsaslı hesab olunacaq amillər qeyd olunmalıdır.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7"/>
        </w:numPr>
        <w:tabs>
          <w:tab w:val="left" w:pos="1815"/>
        </w:tabs>
        <w:kinsoku w:val="0"/>
        <w:overflowPunct w:val="0"/>
        <w:spacing w:line="250" w:lineRule="auto"/>
        <w:ind w:left="1814" w:right="1235"/>
        <w:jc w:val="both"/>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Tələbin qanuni olduğunu göstərmək məqsədi ilə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8"/>
          <w:sz w:val="24"/>
          <w:szCs w:val="24"/>
          <w:lang w:val="az-Latn-AZ"/>
        </w:rPr>
        <w:t>istifadəsinə (məsələn, şəhərsalma/zonalaşdırma planı) dair qanuni məhdudiyyətlər</w:t>
      </w:r>
    </w:p>
    <w:p w:rsidR="00D02DD9" w:rsidRPr="009C2EF2" w:rsidRDefault="003C64E0" w:rsidP="00CC0B7F">
      <w:pPr>
        <w:pStyle w:val="a3"/>
        <w:kinsoku w:val="0"/>
        <w:overflowPunct w:val="0"/>
        <w:spacing w:line="250" w:lineRule="auto"/>
        <w:ind w:left="1814"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və bu məhdudiyyətlərlə bağlı ediləcək dəyişikliklər nəzərə alınmalıdır.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7"/>
        </w:numPr>
        <w:tabs>
          <w:tab w:val="left" w:pos="1815"/>
        </w:tabs>
        <w:kinsoku w:val="0"/>
        <w:overflowPunct w:val="0"/>
        <w:spacing w:line="250" w:lineRule="auto"/>
        <w:ind w:left="1814" w:right="136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Maliyyə baxımından mümkün olan istifadəyə dair tələb mövcud istifadənin faydasından başqa bu istifadə ilə bağlı istehsal xərclərini də nəzərə aldıqdan sonra fiziki cəhətdən mümkün və qanuni cəhətdən icazə verilən alternativ istifadənin tipik </w:t>
      </w:r>
      <w:r w:rsidRPr="009C2EF2">
        <w:rPr>
          <w:rFonts w:ascii="Times New Roman" w:hAnsi="Times New Roman"/>
          <w:i/>
          <w:color w:val="231F20"/>
          <w:sz w:val="24"/>
          <w:szCs w:val="24"/>
          <w:lang w:val="az-Latn-AZ"/>
        </w:rPr>
        <w:t xml:space="preserve">iştirakçıya </w:t>
      </w:r>
      <w:r w:rsidRPr="009C2EF2">
        <w:rPr>
          <w:rFonts w:ascii="Times New Roman" w:hAnsi="Times New Roman"/>
          <w:color w:val="231F20"/>
          <w:sz w:val="24"/>
          <w:szCs w:val="24"/>
          <w:lang w:val="az-Latn-AZ"/>
        </w:rPr>
        <w:t>kifayət qədər faydalı olub-olmamasını nəzərə alır.</w:t>
      </w: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24</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3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2304" behindDoc="1" locked="0" layoutInCell="0" allowOverlap="1">
                <wp:simplePos x="0" y="0"/>
                <wp:positionH relativeFrom="page">
                  <wp:posOffset>5183505</wp:posOffset>
                </wp:positionH>
                <wp:positionV relativeFrom="page">
                  <wp:posOffset>0</wp:posOffset>
                </wp:positionV>
                <wp:extent cx="431800" cy="8423910"/>
                <wp:effectExtent l="0" t="0" r="0" b="0"/>
                <wp:wrapNone/>
                <wp:docPr id="20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14C6E4" id="Freeform 69" o:spid="_x0000_s1026" style="position:absolute;margin-left:408.15pt;margin-top:0;width:34pt;height:663.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B+qTFf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Heading41"/>
        <w:numPr>
          <w:ilvl w:val="0"/>
          <w:numId w:val="86"/>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Dəyərləndirmə Şərtləri – Cari/Mövcud İstifadə</w:t>
      </w:r>
    </w:p>
    <w:p w:rsidR="00D02DD9" w:rsidRPr="009C2EF2" w:rsidRDefault="003C64E0">
      <w:pPr>
        <w:pStyle w:val="a3"/>
        <w:numPr>
          <w:ilvl w:val="1"/>
          <w:numId w:val="86"/>
        </w:numPr>
        <w:tabs>
          <w:tab w:val="left" w:pos="681"/>
        </w:tabs>
        <w:kinsoku w:val="0"/>
        <w:overflowPunct w:val="0"/>
        <w:spacing w:before="122" w:line="250" w:lineRule="auto"/>
        <w:ind w:left="680" w:right="156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Cari/Mövcud İstifadə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z w:val="24"/>
          <w:szCs w:val="24"/>
          <w:lang w:val="az-Latn-AZ"/>
        </w:rPr>
        <w:t xml:space="preserve">, passivin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passivlər qrupunun istifadə olunduğu cari üsuldur. Cari istifadə ən yaxşı və ən səmərəli istifadə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z w:val="24"/>
          <w:szCs w:val="24"/>
          <w:lang w:val="az-Latn-AZ"/>
        </w:rPr>
        <w:t>, lakin bu həmişə özünü doğrultmur.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8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Dəyərləndirmə Şərtləri – Nizamlı Ləğvetmə</w:t>
      </w:r>
    </w:p>
    <w:p w:rsidR="00D02DD9" w:rsidRPr="009C2EF2" w:rsidRDefault="003C64E0">
      <w:pPr>
        <w:pStyle w:val="a3"/>
        <w:numPr>
          <w:ilvl w:val="1"/>
          <w:numId w:val="85"/>
        </w:numPr>
        <w:tabs>
          <w:tab w:val="left" w:pos="681"/>
        </w:tabs>
        <w:kinsoku w:val="0"/>
        <w:overflowPunct w:val="0"/>
        <w:spacing w:before="122" w:line="250" w:lineRule="auto"/>
        <w:ind w:left="680" w:right="1289"/>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Nizamlı ləğvetmə mövcud vəziyyətdə satış etməyə məcbur edilən satıcı vasitəsilə alıcının (alıcıların) tapılması üçün nəzərdə tutulmuş müddətdə likvidasiya satışı ilə reallaşdırılan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qrupunun dəyərini təsvir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85"/>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Alıcının (alıcıların) tapılması üçün nəzərdə tutulmuş müddət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növünə və bazar şərtlərinə görə dəyişə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84"/>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Dəyərləndirmə Şərtləri – Məcburi Satış</w:t>
      </w:r>
    </w:p>
    <w:p w:rsidR="00D02DD9" w:rsidRPr="009C2EF2" w:rsidRDefault="0075026C" w:rsidP="00CC0B7F">
      <w:pPr>
        <w:pStyle w:val="a3"/>
        <w:numPr>
          <w:ilvl w:val="1"/>
          <w:numId w:val="84"/>
        </w:numPr>
        <w:tabs>
          <w:tab w:val="left" w:pos="681"/>
        </w:tabs>
        <w:kinsoku w:val="0"/>
        <w:overflowPunct w:val="0"/>
        <w:spacing w:before="122" w:line="250" w:lineRule="auto"/>
        <w:ind w:left="680" w:right="1283"/>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63520" behindDoc="0" locked="0" layoutInCell="0" allowOverlap="1">
                <wp:simplePos x="0" y="0"/>
                <wp:positionH relativeFrom="page">
                  <wp:posOffset>5276215</wp:posOffset>
                </wp:positionH>
                <wp:positionV relativeFrom="paragraph">
                  <wp:posOffset>232410</wp:posOffset>
                </wp:positionV>
                <wp:extent cx="152400" cy="2710180"/>
                <wp:effectExtent l="0" t="0" r="0" b="0"/>
                <wp:wrapNone/>
                <wp:docPr id="19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4" type="#_x0000_t202" style="position:absolute;left:0;text-align:left;margin-left:415.45pt;margin-top:18.3pt;width:12pt;height:213.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z w:val="24"/>
          <w:szCs w:val="24"/>
          <w:lang w:val="az-Latn-AZ"/>
        </w:rPr>
        <w:t xml:space="preserve">"Məcburi satış" terminindən, adətən, satıcının satış etməyə məcbur edildiyi və nəticədə xüsusi marketinq müddətinin mümkün </w:t>
      </w:r>
      <w:r w:rsidR="003C64E0" w:rsidRPr="009C2EF2">
        <w:rPr>
          <w:rFonts w:ascii="Times New Roman" w:hAnsi="Times New Roman"/>
          <w:i/>
          <w:color w:val="231F20"/>
          <w:spacing w:val="-1"/>
          <w:sz w:val="24"/>
          <w:szCs w:val="24"/>
          <w:lang w:val="az-Latn-AZ"/>
        </w:rPr>
        <w:t xml:space="preserve">olmadığı </w:t>
      </w:r>
      <w:r w:rsidR="003C64E0" w:rsidRPr="009C2EF2">
        <w:rPr>
          <w:rFonts w:ascii="Times New Roman" w:hAnsi="Times New Roman"/>
          <w:color w:val="231F20"/>
          <w:sz w:val="24"/>
          <w:szCs w:val="24"/>
          <w:lang w:val="az-Latn-AZ"/>
        </w:rPr>
        <w:t xml:space="preserve">və alıcının gözlənilən tapşırığı yerinə yetirə bilmədiyi hallarda istifadə olunur. Bu kimi hallarda əldə ediləcək qiymət satıcı üzərindəki təzyiqdən və xüsusi marketinq tədqiqatının icra edilə bilməməsi səbəblərindən asılı olacaq. Bu eyni zamanda, verilmiş müddət ərzində satıcının satışı reallaşdıra bilməməsi ilə bağlı nəticələri də əks etdirə </w:t>
      </w:r>
      <w:r w:rsidR="003C64E0" w:rsidRPr="009C2EF2">
        <w:rPr>
          <w:rFonts w:ascii="Times New Roman" w:hAnsi="Times New Roman"/>
          <w:i/>
          <w:color w:val="231F20"/>
          <w:spacing w:val="-1"/>
          <w:sz w:val="24"/>
          <w:szCs w:val="24"/>
          <w:lang w:val="az-Latn-AZ"/>
        </w:rPr>
        <w:t>bilər</w:t>
      </w:r>
      <w:r w:rsidR="003C64E0" w:rsidRPr="009C2EF2">
        <w:rPr>
          <w:rFonts w:ascii="Times New Roman" w:hAnsi="Times New Roman"/>
          <w:color w:val="231F20"/>
          <w:sz w:val="24"/>
          <w:szCs w:val="24"/>
          <w:lang w:val="az-Latn-AZ"/>
        </w:rPr>
        <w:t>.</w:t>
      </w:r>
    </w:p>
    <w:p w:rsidR="00D02DD9" w:rsidRPr="009C2EF2" w:rsidRDefault="00D54817" w:rsidP="00CC0B7F">
      <w:pPr>
        <w:pStyle w:val="a3"/>
        <w:kinsoku w:val="0"/>
        <w:overflowPunct w:val="0"/>
        <w:spacing w:line="250" w:lineRule="auto"/>
        <w:ind w:left="680" w:right="152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Satıcı üzərinə qoyulmu</w:t>
      </w:r>
      <w:r w:rsidR="003C64E0" w:rsidRPr="009C2EF2">
        <w:rPr>
          <w:rFonts w:ascii="Times New Roman" w:hAnsi="Times New Roman"/>
          <w:color w:val="231F20"/>
          <w:sz w:val="24"/>
          <w:szCs w:val="24"/>
          <w:lang w:val="az-Latn-AZ"/>
        </w:rPr>
        <w:t>ş məhdudiyyətlərin növü və səbəbi bəlli olmayanadək məcburi satışdan əldə olunacaq qiymət</w:t>
      </w:r>
      <w:r w:rsidR="00CC0B7F" w:rsidRPr="009C2EF2">
        <w:rPr>
          <w:rFonts w:ascii="Times New Roman" w:hAnsi="Times New Roman"/>
          <w:color w:val="231F20"/>
          <w:sz w:val="24"/>
          <w:szCs w:val="24"/>
          <w:lang w:val="az-Latn-AZ"/>
        </w:rPr>
        <w:t xml:space="preserve"> </w:t>
      </w:r>
      <w:r w:rsidR="003C64E0" w:rsidRPr="009C2EF2">
        <w:rPr>
          <w:rFonts w:ascii="Times New Roman" w:hAnsi="Times New Roman"/>
          <w:color w:val="231F20"/>
          <w:sz w:val="24"/>
          <w:szCs w:val="24"/>
          <w:lang w:val="az-Latn-AZ"/>
        </w:rPr>
        <w:t>hesablana bilməz. Satıcının məcburi satışdan əldə edəcəyi qiymət Bazar Dəyəri tərifindəki hipotetik maraqlı satıcının vəziyyətindən daha çox onun vəziyyətini əks etdirir.  "Məcburi satış" müxtəlif dəyər bazalarını deyil, mübadilənin aparıldığı vəziyyəti təsvir edir.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4"/>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Məcburi satış şərtləri ilə əldə edilə bilən qiymət göstəricisinin tələb olunduğu təqdirdə satıcı üzərinə qoyulmuş məhdudiyyətlərin səbəbləri, o cümlədən müəyyən edilmiş müddət ərzində satışın həyata keçirilə bilməməsinin nəticələri </w:t>
      </w:r>
      <w:r w:rsidRPr="009C2EF2">
        <w:rPr>
          <w:rFonts w:ascii="Times New Roman" w:hAnsi="Times New Roman"/>
          <w:color w:val="231F20"/>
          <w:spacing w:val="-1"/>
          <w:sz w:val="24"/>
          <w:szCs w:val="24"/>
          <w:lang w:val="az-Latn-AZ"/>
        </w:rPr>
        <w:lastRenderedPageBreak/>
        <w:t xml:space="preserve">müvafiq ehtimallar əsasında müəyyənləşdirilməlidir. Bu şərtlər qiymətləndirmə tarixində mövcud olmadıqda xüsusi ehtimallar kimi </w:t>
      </w:r>
      <w:r w:rsidRPr="009C2EF2">
        <w:rPr>
          <w:rFonts w:ascii="Times New Roman" w:hAnsi="Times New Roman"/>
          <w:i/>
          <w:color w:val="231F20"/>
          <w:spacing w:val="-2"/>
          <w:sz w:val="24"/>
          <w:szCs w:val="24"/>
          <w:lang w:val="az-Latn-AZ"/>
        </w:rPr>
        <w:t>müəyyənləşdirilməlidir</w:t>
      </w:r>
      <w:r w:rsidRPr="009C2EF2">
        <w:rPr>
          <w:rFonts w:ascii="Times New Roman" w:hAnsi="Times New Roman"/>
          <w:color w:val="231F20"/>
          <w:spacing w:val="-1"/>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4"/>
        </w:numPr>
        <w:tabs>
          <w:tab w:val="left" w:pos="681"/>
        </w:tabs>
        <w:kinsoku w:val="0"/>
        <w:overflowPunct w:val="0"/>
        <w:spacing w:line="250" w:lineRule="auto"/>
        <w:ind w:left="680" w:right="152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Məcburi satış, əsasən, aşağıdakı şərtlər əsasında xüsusi əmlak üzrə müəyyənləşdirilmiş ən çox ehtimal olunan qiyməti əks etdirir: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qısa müddət ərzində satışın həyata keçirilməsi,</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spacing w:line="250" w:lineRule="auto"/>
        <w:ind w:left="964" w:right="144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qiymətləndirmə tarixindən və ya əməliyyatın başa çatdırılacağı ehtimal olunan tarixdən etibarən mövcud bazar şərtləri əsasında tənzimlənir,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yaxşı məlumatlandırılmış alıcı və satıcı ehtiyatla hərəkət edir,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satıcı satış etməyə məcbur edilir,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alıcı, adətən, həvəsləndirilir,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tərəflər öz maraqları üçün çalışır,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marketinq tədqiqatı təsir müddəti qısa olduğuna görə mümkün deyil və</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ödəniş nağd şəkildə ediləcək.</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ind w:left="2876" w:right="3725"/>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25</w:t>
      </w:r>
    </w:p>
    <w:p w:rsidR="00D02DD9" w:rsidRPr="009C2EF2" w:rsidRDefault="00D02DD9">
      <w:pPr>
        <w:pStyle w:val="a3"/>
        <w:kinsoku w:val="0"/>
        <w:overflowPunct w:val="0"/>
        <w:ind w:left="2876" w:right="3725"/>
        <w:jc w:val="center"/>
        <w:rPr>
          <w:rFonts w:ascii="Times New Roman" w:hAnsi="Times New Roman"/>
          <w:color w:val="000000"/>
          <w:sz w:val="24"/>
          <w:szCs w:val="24"/>
          <w:lang w:val="az-Latn-AZ"/>
        </w:rPr>
        <w:sectPr w:rsidR="00D02DD9" w:rsidRPr="009C2EF2">
          <w:footerReference w:type="default" r:id="rId3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3328" behindDoc="1" locked="0" layoutInCell="0" allowOverlap="1">
                <wp:simplePos x="0" y="0"/>
                <wp:positionH relativeFrom="page">
                  <wp:posOffset>0</wp:posOffset>
                </wp:positionH>
                <wp:positionV relativeFrom="page">
                  <wp:posOffset>0</wp:posOffset>
                </wp:positionV>
                <wp:extent cx="432435" cy="8424545"/>
                <wp:effectExtent l="0" t="0" r="0" b="0"/>
                <wp:wrapNone/>
                <wp:docPr id="19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0BA412" id="Freeform 71" o:spid="_x0000_s1026" style="position:absolute;margin-left:0;margin-top:0;width:34.05pt;height:663.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Amh1dM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rsidP="00CC0B7F">
      <w:pPr>
        <w:pStyle w:val="a3"/>
        <w:numPr>
          <w:ilvl w:val="1"/>
          <w:numId w:val="84"/>
        </w:numPr>
        <w:tabs>
          <w:tab w:val="left" w:pos="1531"/>
        </w:tabs>
        <w:kinsoku w:val="0"/>
        <w:overflowPunct w:val="0"/>
        <w:spacing w:before="77"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Qeyri-fəal və ya qiymətləri düşən bazardakı satışlar "məcburi satış" hesab olunmur, çünki satıcının vəziyyətin dəyişərək qiymətin qalxmasına ümidi olur. Satışı həyata keçirməyə məcbur edilmədiyi təqdirdə satıcı Bazar Dəyərinin tərifinə uyğun olaraq maraqlı satıcı hesab olunacaq (30.1-30.7 bəndlərinə baxın).</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4"/>
        </w:numPr>
        <w:tabs>
          <w:tab w:val="left" w:pos="1531"/>
        </w:tabs>
        <w:kinsoku w:val="0"/>
        <w:overflowPunct w:val="0"/>
        <w:spacing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 bazasının Bazar Dəyərini təşkil etdiyi, təsdiqlənmiş "məcburi satış" əməliyyatlarının qiymətləndirmədə nəzərə alınmayacağı halda bazarda müstəqil tərəflər arasında sövdələşmənin məcburi satış olduğunu</w:t>
      </w:r>
    </w:p>
    <w:p w:rsidR="00D02DD9" w:rsidRPr="009C2EF2" w:rsidRDefault="003C64E0" w:rsidP="00CC0B7F">
      <w:pPr>
        <w:pStyle w:val="a3"/>
        <w:kinsoku w:val="0"/>
        <w:overflowPunct w:val="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müəyyənləşdirmək çətin ola bilər.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Heading41"/>
        <w:numPr>
          <w:ilvl w:val="0"/>
          <w:numId w:val="83"/>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Müəssisəyə Xas Amillər</w:t>
      </w:r>
    </w:p>
    <w:p w:rsidR="00D02DD9" w:rsidRPr="009C2EF2" w:rsidRDefault="003C64E0" w:rsidP="00CC0B7F">
      <w:pPr>
        <w:pStyle w:val="a3"/>
        <w:numPr>
          <w:ilvl w:val="1"/>
          <w:numId w:val="83"/>
        </w:numPr>
        <w:tabs>
          <w:tab w:val="left" w:pos="1531"/>
        </w:tabs>
        <w:kinsoku w:val="0"/>
        <w:overflowPunct w:val="0"/>
        <w:spacing w:before="122" w:line="250" w:lineRule="auto"/>
        <w:ind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Əksər dəyər bazası üzrə xüsusi alıcı və ya satıcıya aid olub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1"/>
          <w:sz w:val="24"/>
          <w:szCs w:val="24"/>
          <w:lang w:val="az-Latn-AZ"/>
        </w:rPr>
        <w:t xml:space="preserve">üçün əlverişli olmayan amillər, adətən, bazar-əsaslı qiymətləndirmədə istifadə olunan ilkin məlumatlardan çıxarılır.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1"/>
          <w:sz w:val="24"/>
          <w:szCs w:val="24"/>
          <w:lang w:val="az-Latn-AZ"/>
        </w:rPr>
        <w:t xml:space="preserve">üçün əlverişli olmayan müəssisəyə xas amillərə aşağıdakıları göstərmək </w:t>
      </w:r>
      <w:r w:rsidRPr="009C2EF2">
        <w:rPr>
          <w:rFonts w:ascii="Times New Roman" w:hAnsi="Times New Roman"/>
          <w:i/>
          <w:color w:val="231F20"/>
          <w:spacing w:val="-1"/>
          <w:sz w:val="24"/>
          <w:szCs w:val="24"/>
          <w:lang w:val="az-Latn-AZ"/>
        </w:rPr>
        <w:t>olar</w:t>
      </w:r>
      <w:r w:rsidRPr="009C2EF2">
        <w:rPr>
          <w:rFonts w:ascii="Times New Roman" w:hAnsi="Times New Roman"/>
          <w:color w:val="231F20"/>
          <w:spacing w:val="-1"/>
          <w:sz w:val="24"/>
          <w:szCs w:val="24"/>
          <w:lang w:val="az-Latn-AZ"/>
        </w:rPr>
        <w:t>:</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75026C" w:rsidP="00CC0B7F">
      <w:pPr>
        <w:pStyle w:val="a3"/>
        <w:numPr>
          <w:ilvl w:val="2"/>
          <w:numId w:val="83"/>
        </w:numPr>
        <w:tabs>
          <w:tab w:val="left" w:pos="1815"/>
        </w:tabs>
        <w:kinsoku w:val="0"/>
        <w:overflowPunct w:val="0"/>
        <w:spacing w:line="250" w:lineRule="auto"/>
        <w:ind w:left="1814" w:right="1657"/>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4544" behindDoc="0" locked="0" layoutInCell="0" allowOverlap="1">
                <wp:simplePos x="0" y="0"/>
                <wp:positionH relativeFrom="page">
                  <wp:posOffset>151130</wp:posOffset>
                </wp:positionH>
                <wp:positionV relativeFrom="paragraph">
                  <wp:posOffset>24765</wp:posOffset>
                </wp:positionV>
                <wp:extent cx="152400" cy="2710180"/>
                <wp:effectExtent l="0" t="0" r="0" b="0"/>
                <wp:wrapNone/>
                <wp:docPr id="1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5" type="#_x0000_t202" style="position:absolute;left:0;text-align:left;margin-left:11.9pt;margin-top:1.95pt;width:12pt;height:213.4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z w:val="24"/>
          <w:szCs w:val="24"/>
          <w:lang w:val="az-Latn-AZ"/>
        </w:rPr>
        <w:t xml:space="preserve">oxşar </w:t>
      </w:r>
      <w:r w:rsidR="003C64E0" w:rsidRPr="009C2EF2">
        <w:rPr>
          <w:rFonts w:ascii="Times New Roman" w:hAnsi="Times New Roman"/>
          <w:i/>
          <w:color w:val="231F20"/>
          <w:spacing w:val="-1"/>
          <w:sz w:val="24"/>
          <w:szCs w:val="24"/>
          <w:lang w:val="az-Latn-AZ"/>
        </w:rPr>
        <w:t xml:space="preserve">aktivlərin </w:t>
      </w:r>
      <w:r w:rsidR="003C64E0" w:rsidRPr="009C2EF2">
        <w:rPr>
          <w:rFonts w:ascii="Times New Roman" w:hAnsi="Times New Roman"/>
          <w:color w:val="231F20"/>
          <w:sz w:val="24"/>
          <w:szCs w:val="24"/>
          <w:lang w:val="az-Latn-AZ"/>
        </w:rPr>
        <w:t>portfelinin yaradılması nəticəsində əlavə dəyər və ya dəyərin azalması,</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spacing w:line="250" w:lineRule="auto"/>
        <w:ind w:left="1814" w:right="1913"/>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müəssisənin sahib olduğu digər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arasında bənzərsiz sinerji,</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yalnız müəssisəyə xas qanuni hüquqlar və məhdudiyyətlər,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müəssisəyə xas vergi imtiyazları və vergi yükləri və</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müəssisəyə xas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z w:val="24"/>
          <w:szCs w:val="24"/>
          <w:lang w:val="az-Latn-AZ"/>
        </w:rPr>
        <w:t>istifadə imkanı.</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1"/>
          <w:numId w:val="83"/>
        </w:numPr>
        <w:tabs>
          <w:tab w:val="left" w:pos="1531"/>
        </w:tabs>
        <w:kinsoku w:val="0"/>
        <w:overflowPunct w:val="0"/>
        <w:spacing w:line="250" w:lineRule="auto"/>
        <w:ind w:right="120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kimi amillərin müəssisəyə xas olub-olmaması və ya amillərin bazarda başqaları üçün əlverişli olub-olmaması fərdi qaydada müəyyənləşdiriləcək. Məsələn, </w:t>
      </w:r>
      <w:r w:rsidRPr="009C2EF2">
        <w:rPr>
          <w:rFonts w:ascii="Times New Roman" w:hAnsi="Times New Roman"/>
          <w:i/>
          <w:color w:val="231F20"/>
          <w:sz w:val="24"/>
          <w:szCs w:val="24"/>
          <w:lang w:val="az-Latn-AZ"/>
        </w:rPr>
        <w:t xml:space="preserve">aktiv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qrupunun bir hissəsi olmaqla müstəqil element kimi götürülə bilməz. Qrupun ötürülməsi ilə yanaşı əlaqəli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sinerjisi də </w:t>
      </w:r>
      <w:r w:rsidRPr="009C2EF2">
        <w:rPr>
          <w:rFonts w:ascii="Times New Roman" w:hAnsi="Times New Roman"/>
          <w:i/>
          <w:color w:val="231F20"/>
          <w:sz w:val="24"/>
          <w:szCs w:val="24"/>
          <w:lang w:val="az-Latn-AZ"/>
        </w:rPr>
        <w:lastRenderedPageBreak/>
        <w:t xml:space="preserve">iştirakçılara </w:t>
      </w:r>
      <w:r w:rsidRPr="009C2EF2">
        <w:rPr>
          <w:rFonts w:ascii="Times New Roman" w:hAnsi="Times New Roman"/>
          <w:color w:val="231F20"/>
          <w:sz w:val="24"/>
          <w:szCs w:val="24"/>
          <w:lang w:val="az-Latn-AZ"/>
        </w:rPr>
        <w:t>ötürülə bilər və onlar müəssisəyə xas amillər hesab olunmur.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3"/>
        </w:numPr>
        <w:tabs>
          <w:tab w:val="left" w:pos="1531"/>
        </w:tabs>
        <w:kinsoku w:val="0"/>
        <w:overflowPunct w:val="0"/>
        <w:spacing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Qiymətləndirmədə istifadə olunan dəyər bazasının məqsədi konkret sahibkar üzrə dəyərin müəyyənləşdirilməsi olarsa (60.1 və60.2 bəndlərində bəhs olunan İnvestisiya Dəyəri kimi), müəssisəyə xas amillər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z w:val="24"/>
          <w:szCs w:val="24"/>
          <w:lang w:val="az-Latn-AZ"/>
        </w:rPr>
        <w:t xml:space="preserve"> qiymətləndirilməsinə əks olunur. Konkret sahibkar üzrə dəyərin tələb </w:t>
      </w:r>
      <w:r w:rsidRPr="009C2EF2">
        <w:rPr>
          <w:rFonts w:ascii="Times New Roman" w:hAnsi="Times New Roman"/>
          <w:i/>
          <w:color w:val="231F20"/>
          <w:spacing w:val="-1"/>
          <w:sz w:val="24"/>
          <w:szCs w:val="24"/>
          <w:lang w:val="az-Latn-AZ"/>
        </w:rPr>
        <w:t xml:space="preserve">olunduğu </w:t>
      </w:r>
      <w:r w:rsidRPr="009C2EF2">
        <w:rPr>
          <w:rFonts w:ascii="Times New Roman" w:hAnsi="Times New Roman"/>
          <w:color w:val="231F20"/>
          <w:sz w:val="24"/>
          <w:szCs w:val="24"/>
          <w:lang w:val="az-Latn-AZ"/>
        </w:rPr>
        <w:t>hallara aşağıdakı nümunələr daxildir: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investisiya qərarlarının dəstəklənməsi və </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fəaliyyətinin nəzərdən keçirilməsi.</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Heading41"/>
        <w:numPr>
          <w:ilvl w:val="0"/>
          <w:numId w:val="82"/>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Sinerjilər</w:t>
      </w:r>
    </w:p>
    <w:p w:rsidR="00D02DD9" w:rsidRPr="009C2EF2" w:rsidRDefault="003C64E0" w:rsidP="00CC0B7F">
      <w:pPr>
        <w:pStyle w:val="a3"/>
        <w:numPr>
          <w:ilvl w:val="1"/>
          <w:numId w:val="82"/>
        </w:numPr>
        <w:tabs>
          <w:tab w:val="left" w:pos="1531"/>
        </w:tabs>
        <w:kinsoku w:val="0"/>
        <w:overflowPunct w:val="0"/>
        <w:spacing w:before="12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"Sinerjilər"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birləşdirilməsindən əldə olunan faydanı ifadə edir.</w:t>
      </w:r>
    </w:p>
    <w:p w:rsidR="00D02DD9" w:rsidRPr="009C2EF2" w:rsidRDefault="003C64E0" w:rsidP="00CC0B7F">
      <w:pPr>
        <w:pStyle w:val="a3"/>
        <w:kinsoku w:val="0"/>
        <w:overflowPunct w:val="0"/>
        <w:spacing w:before="9" w:line="250" w:lineRule="auto"/>
        <w:ind w:right="1411"/>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Sinerjilər olduqda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və passivlər qrupunun dəyəri müstəqil əsasda fərdi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və passivlərin dəyərinin cəmindən çox olur. Sinerjilər ümumilikdə xərcin azalması, gəlirin artması və riskin azalması ilə əlaqələndirilir.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2"/>
        </w:numPr>
        <w:tabs>
          <w:tab w:val="left" w:pos="1531"/>
        </w:tabs>
        <w:kinsoku w:val="0"/>
        <w:overflowPunct w:val="0"/>
        <w:spacing w:line="250" w:lineRule="auto"/>
        <w:ind w:right="1619"/>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Sinerjilərin qiymətləndirmədə nəzərə </w:t>
      </w:r>
      <w:r w:rsidRPr="009C2EF2">
        <w:rPr>
          <w:rFonts w:ascii="Times New Roman" w:hAnsi="Times New Roman"/>
          <w:i/>
          <w:color w:val="231F20"/>
          <w:spacing w:val="1"/>
          <w:sz w:val="24"/>
          <w:szCs w:val="24"/>
          <w:lang w:val="az-Latn-AZ"/>
        </w:rPr>
        <w:t xml:space="preserve">alınıb-alınmaması </w:t>
      </w:r>
      <w:r w:rsidRPr="009C2EF2">
        <w:rPr>
          <w:rFonts w:ascii="Times New Roman" w:hAnsi="Times New Roman"/>
          <w:color w:val="231F20"/>
          <w:sz w:val="24"/>
          <w:szCs w:val="24"/>
          <w:lang w:val="az-Latn-AZ"/>
        </w:rPr>
        <w:t>dəyər bazasından asılıdır. Əksər dəyər bazaları üzrə</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ind w:left="4185" w:right="4352"/>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26</w:t>
      </w:r>
    </w:p>
    <w:p w:rsidR="00D02DD9" w:rsidRPr="009C2EF2" w:rsidRDefault="00D02DD9">
      <w:pPr>
        <w:pStyle w:val="a3"/>
        <w:kinsoku w:val="0"/>
        <w:overflowPunct w:val="0"/>
        <w:ind w:left="4185" w:right="4352"/>
        <w:jc w:val="center"/>
        <w:rPr>
          <w:rFonts w:ascii="Times New Roman" w:hAnsi="Times New Roman"/>
          <w:color w:val="000000"/>
          <w:sz w:val="24"/>
          <w:szCs w:val="24"/>
          <w:lang w:val="az-Latn-AZ"/>
        </w:rPr>
        <w:sectPr w:rsidR="00D02DD9" w:rsidRPr="009C2EF2">
          <w:footerReference w:type="default" r:id="rId3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435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9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0B39EDF" id="Freeform 73" o:spid="_x0000_s1026" style="position:absolute;margin-left:408.15pt;margin-top:0;width:34pt;height:663.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jJegMAAHU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CwU4jJ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rsidP="00CC0B7F">
      <w:pPr>
        <w:pStyle w:val="a3"/>
        <w:kinsoku w:val="0"/>
        <w:overflowPunct w:val="0"/>
        <w:spacing w:before="77" w:line="250" w:lineRule="auto"/>
        <w:ind w:left="680" w:right="174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digər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üçün əlverişli olan yalnız bu sinerjilər nəzərə alınacaq (180.1-180.3 bəndlərində bəhs olunan Müəssisəyə Xas Amillərə baxın).</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2"/>
        </w:numPr>
        <w:tabs>
          <w:tab w:val="left" w:pos="681"/>
        </w:tabs>
        <w:kinsoku w:val="0"/>
        <w:overflowPunct w:val="0"/>
        <w:spacing w:line="250" w:lineRule="auto"/>
        <w:ind w:left="680" w:right="139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Sinerjilərin digər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1"/>
          <w:sz w:val="24"/>
          <w:szCs w:val="24"/>
          <w:lang w:val="az-Latn-AZ"/>
        </w:rPr>
        <w:t>üçün əlverişli olub-olmaması ilə bağlı aparılacaq qiymətləndirmə sinerjinin əldə olunması ilə bağlı konkret üsula deyil, daha çox sinerjilərin miqdarına əsaslana bilər.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Heading41"/>
        <w:numPr>
          <w:ilvl w:val="0"/>
          <w:numId w:val="81"/>
        </w:numPr>
        <w:tabs>
          <w:tab w:val="left" w:pos="681"/>
        </w:tabs>
        <w:kinsoku w:val="0"/>
        <w:overflowPunct w:val="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Ehtimallar və Xüsusi Ehtimallar</w:t>
      </w:r>
    </w:p>
    <w:p w:rsidR="00D02DD9" w:rsidRPr="009C2EF2" w:rsidRDefault="003C64E0" w:rsidP="00CC0B7F">
      <w:pPr>
        <w:pStyle w:val="a3"/>
        <w:numPr>
          <w:ilvl w:val="1"/>
          <w:numId w:val="81"/>
        </w:numPr>
        <w:tabs>
          <w:tab w:val="left" w:pos="681"/>
        </w:tabs>
        <w:kinsoku w:val="0"/>
        <w:overflowPunct w:val="0"/>
        <w:spacing w:before="122" w:line="250" w:lineRule="auto"/>
        <w:ind w:left="680"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 bazasından başqa, istər hipotetik mübadilə halında, istərsə də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mübadilə edilməsi ehtimal olunan hallarda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vəziyyətinin aydınlaşdırılması məqsədi ilə</w:t>
      </w:r>
    </w:p>
    <w:p w:rsidR="00D02DD9" w:rsidRPr="009C2EF2" w:rsidRDefault="003C64E0" w:rsidP="00CC0B7F">
      <w:pPr>
        <w:pStyle w:val="a3"/>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ehtimalların irəli sürülməsi vacib hala çevrilir. Belə ehtimalların dəyər üzərində </w:t>
      </w:r>
      <w:r w:rsidRPr="009C2EF2">
        <w:rPr>
          <w:rFonts w:ascii="Times New Roman" w:hAnsi="Times New Roman"/>
          <w:i/>
          <w:color w:val="231F20"/>
          <w:sz w:val="24"/>
          <w:szCs w:val="24"/>
          <w:lang w:val="az-Latn-AZ"/>
        </w:rPr>
        <w:t xml:space="preserve">böyük </w:t>
      </w:r>
      <w:r w:rsidRPr="009C2EF2">
        <w:rPr>
          <w:rFonts w:ascii="Times New Roman" w:hAnsi="Times New Roman"/>
          <w:color w:val="231F20"/>
          <w:sz w:val="24"/>
          <w:szCs w:val="24"/>
          <w:lang w:val="az-Latn-AZ"/>
        </w:rPr>
        <w:t>təsiri ola bilər.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1"/>
        </w:numPr>
        <w:tabs>
          <w:tab w:val="left" w:pos="681"/>
        </w:tabs>
        <w:kinsoku w:val="0"/>
        <w:overflowPunct w:val="0"/>
        <w:ind w:left="68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Ehtimallar, adətən, iki kateqoriyaya ayrılır: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75026C" w:rsidP="00CC0B7F">
      <w:pPr>
        <w:pStyle w:val="a3"/>
        <w:numPr>
          <w:ilvl w:val="2"/>
          <w:numId w:val="81"/>
        </w:numPr>
        <w:tabs>
          <w:tab w:val="left" w:pos="965"/>
        </w:tabs>
        <w:kinsoku w:val="0"/>
        <w:overflowPunct w:val="0"/>
        <w:spacing w:line="250" w:lineRule="auto"/>
        <w:ind w:left="964" w:right="1486"/>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5568" behindDoc="0" locked="0" layoutInCell="0" allowOverlap="1">
                <wp:simplePos x="0" y="0"/>
                <wp:positionH relativeFrom="page">
                  <wp:posOffset>5276215</wp:posOffset>
                </wp:positionH>
                <wp:positionV relativeFrom="paragraph">
                  <wp:posOffset>191135</wp:posOffset>
                </wp:positionV>
                <wp:extent cx="152400" cy="2710180"/>
                <wp:effectExtent l="0" t="0" r="0" b="0"/>
                <wp:wrapNone/>
                <wp:docPr id="1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6" type="#_x0000_t202" style="position:absolute;left:0;text-align:left;margin-left:415.45pt;margin-top:15.05pt;width:12pt;height:213.4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EXsgIAALQ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z w:val="24"/>
          <w:szCs w:val="24"/>
          <w:lang w:val="az-Latn-AZ"/>
        </w:rPr>
        <w:t>qiymətləndirmə tarixində mövcud faktlarla əlaqəsi olan ehtimal olunan faktlar və</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tarixində mövcud faktlardan fərqli olan ehtimal olunan faktlar.</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1"/>
          <w:numId w:val="81"/>
        </w:numPr>
        <w:tabs>
          <w:tab w:val="left" w:pos="681"/>
        </w:tabs>
        <w:kinsoku w:val="0"/>
        <w:overflowPunct w:val="0"/>
        <w:spacing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tarixində mövcud faktlarla əlaqəsi olan ehtimal olunan faktlar üzrə ehtimallar </w:t>
      </w:r>
      <w:r w:rsidRPr="009C2EF2">
        <w:rPr>
          <w:rFonts w:ascii="Times New Roman" w:hAnsi="Times New Roman"/>
          <w:i/>
          <w:color w:val="231F20"/>
          <w:spacing w:val="-2"/>
          <w:sz w:val="24"/>
          <w:szCs w:val="24"/>
          <w:lang w:val="az-Latn-AZ"/>
        </w:rPr>
        <w:t xml:space="preserve">qiymətləndirici </w:t>
      </w:r>
      <w:r w:rsidRPr="009C2EF2">
        <w:rPr>
          <w:rFonts w:ascii="Times New Roman" w:hAnsi="Times New Roman"/>
          <w:color w:val="231F20"/>
          <w:sz w:val="24"/>
          <w:szCs w:val="24"/>
          <w:lang w:val="az-Latn-AZ"/>
        </w:rPr>
        <w:t xml:space="preserve">tərəfindən həyata keçirilən tədqiqatlar və ya araşdırmalar ilə bağlı qoyulmuş məhdudiyyətlərin nəticəsi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Belə ehtimallara daxildir (lakin bunlarla məhdudlaşmır):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210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müəssisənin tam əməliyyat orqanı kimi ötürülməsi ehtimalı,</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5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müəssisədə istifadə edilən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sövdələşmə olmadan, fərdi və ya qrup şəklində ötürülməsi ehtimalı,</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94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fərdi qiymətləndirilmiş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digər tamamlayıcı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z w:val="24"/>
          <w:szCs w:val="24"/>
          <w:lang w:val="az-Latn-AZ"/>
        </w:rPr>
        <w:t>birlikdə ötürülməsi ehtimalı və</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səhmlərin qrup və ya fərdi şəkildə ötürülməsi ehtimalı.</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1"/>
          <w:numId w:val="81"/>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tarixində mövcud faktlardan fərqlənən ehtimal olunan faktlar "xüsusi ehtimallar" kimi tanınır. Xüsusi ehtimallardan, adətən, mümkün dəyişikliklərin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dəyəri üzərində təsirini müəyyən etmək məqsədi ilə istifadə olunur.  Qiymətləndirmə istifadəçisinə qiymətləndirmə nəticəsinin mövcud vəziyyətdəki dəyişikliklərdən asılı olduğunu</w:t>
      </w:r>
      <w:r w:rsidR="00B4259D"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və ya qiymətləndirmə tarixində onun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 xml:space="preserve">tərəfindən qəbul edilməyəcək </w:t>
      </w:r>
      <w:r w:rsidR="00B4259D" w:rsidRPr="009C2EF2">
        <w:rPr>
          <w:rFonts w:ascii="Times New Roman" w:hAnsi="Times New Roman"/>
          <w:color w:val="231F20"/>
          <w:sz w:val="24"/>
          <w:szCs w:val="24"/>
          <w:lang w:val="az-Latn-AZ"/>
        </w:rPr>
        <w:t>fikri</w:t>
      </w:r>
      <w:r w:rsidRPr="009C2EF2">
        <w:rPr>
          <w:rFonts w:ascii="Times New Roman" w:hAnsi="Times New Roman"/>
          <w:color w:val="231F20"/>
          <w:sz w:val="24"/>
          <w:szCs w:val="24"/>
          <w:lang w:val="az-Latn-AZ"/>
        </w:rPr>
        <w:t xml:space="preserve"> əks etdirdiyini vurğulamaq üçün həmin ehtimallar "xüsusi" hesab olunur. Belə ehtimallara daxildir (lakin bunlarla məhdudlaşmır):</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əmlakın azad mülkiyyət kimi qeydiyyatda olması ehtimalı,</w:t>
      </w:r>
    </w:p>
    <w:p w:rsidR="00D02DD9" w:rsidRPr="009C2EF2" w:rsidRDefault="00D02DD9" w:rsidP="00CC0B7F">
      <w:pPr>
        <w:pStyle w:val="a3"/>
        <w:kinsoku w:val="0"/>
        <w:overflowPunct w:val="0"/>
        <w:spacing w:before="7"/>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nəzərdə tutulmuş binanın qiymətləndirmə tarixində tam başa çatdırılmış olması ehtimalı,</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xüsusi müqavilənin başa çatmamış qiymətləndirmə tarixində mövcud olması ehtimalı və</w:t>
      </w:r>
    </w:p>
    <w:p w:rsidR="00D02DD9" w:rsidRPr="009C2EF2" w:rsidRDefault="00D02DD9" w:rsidP="00CC0B7F">
      <w:pPr>
        <w:pStyle w:val="a3"/>
        <w:kinsoku w:val="0"/>
        <w:overflowPunct w:val="0"/>
        <w:spacing w:before="9"/>
        <w:ind w:left="0"/>
        <w:jc w:val="both"/>
        <w:rPr>
          <w:rFonts w:ascii="Times New Roman" w:hAnsi="Times New Roman"/>
          <w:sz w:val="24"/>
          <w:szCs w:val="24"/>
          <w:lang w:val="az-Latn-AZ"/>
        </w:rPr>
      </w:pPr>
    </w:p>
    <w:p w:rsidR="00D02DD9" w:rsidRPr="009C2EF2" w:rsidRDefault="003C64E0" w:rsidP="00CC0B7F">
      <w:pPr>
        <w:pStyle w:val="a3"/>
        <w:numPr>
          <w:ilvl w:val="2"/>
          <w:numId w:val="81"/>
        </w:numPr>
        <w:tabs>
          <w:tab w:val="left" w:pos="965"/>
        </w:tabs>
        <w:kinsoku w:val="0"/>
        <w:overflowPunct w:val="0"/>
        <w:spacing w:line="250" w:lineRule="auto"/>
        <w:ind w:left="964" w:right="124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maliyyə alətinin </w:t>
      </w:r>
      <w:r w:rsidRPr="009C2EF2">
        <w:rPr>
          <w:rFonts w:ascii="Times New Roman" w:hAnsi="Times New Roman"/>
          <w:i/>
          <w:color w:val="231F20"/>
          <w:sz w:val="24"/>
          <w:szCs w:val="24"/>
          <w:lang w:val="az-Latn-AZ"/>
        </w:rPr>
        <w:t xml:space="preserve">iştirakçı </w:t>
      </w:r>
      <w:r w:rsidRPr="009C2EF2">
        <w:rPr>
          <w:rFonts w:ascii="Times New Roman" w:hAnsi="Times New Roman"/>
          <w:color w:val="231F20"/>
          <w:sz w:val="24"/>
          <w:szCs w:val="24"/>
          <w:lang w:val="az-Latn-AZ"/>
        </w:rPr>
        <w:t>tərəfindən istifadə olunan gəlirlik əyrisindən fərqli bir gəlirlik əyrisindən istifadə edərək qiymətləndirilməsi ehtimalı.</w:t>
      </w:r>
    </w:p>
    <w:p w:rsidR="00D02DD9" w:rsidRPr="009C2EF2" w:rsidRDefault="00D02DD9" w:rsidP="00CC0B7F">
      <w:pPr>
        <w:pStyle w:val="a3"/>
        <w:kinsoku w:val="0"/>
        <w:overflowPunct w:val="0"/>
        <w:ind w:left="0"/>
        <w:jc w:val="both"/>
        <w:rPr>
          <w:rFonts w:ascii="Times New Roman" w:hAnsi="Times New Roman"/>
          <w:sz w:val="24"/>
          <w:szCs w:val="24"/>
          <w:lang w:val="az-Latn-AZ"/>
        </w:rPr>
      </w:pPr>
    </w:p>
    <w:p w:rsidR="00D02DD9" w:rsidRPr="009C2EF2" w:rsidRDefault="003C64E0">
      <w:pPr>
        <w:pStyle w:val="a3"/>
        <w:kinsoku w:val="0"/>
        <w:overflowPunct w:val="0"/>
        <w:spacing w:before="80"/>
        <w:ind w:left="2876" w:right="3725"/>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27</w:t>
      </w:r>
    </w:p>
    <w:p w:rsidR="00D02DD9" w:rsidRPr="009C2EF2" w:rsidRDefault="00D02DD9">
      <w:pPr>
        <w:pStyle w:val="a3"/>
        <w:kinsoku w:val="0"/>
        <w:overflowPunct w:val="0"/>
        <w:spacing w:before="80"/>
        <w:ind w:left="2876" w:right="3725"/>
        <w:jc w:val="center"/>
        <w:rPr>
          <w:rFonts w:ascii="Times New Roman" w:hAnsi="Times New Roman"/>
          <w:color w:val="000000"/>
          <w:sz w:val="24"/>
          <w:szCs w:val="24"/>
          <w:lang w:val="az-Latn-AZ"/>
        </w:rPr>
        <w:sectPr w:rsidR="00D02DD9" w:rsidRPr="009C2EF2">
          <w:footerReference w:type="default" r:id="rId3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5376" behindDoc="1" locked="0" layoutInCell="0" allowOverlap="1">
                <wp:simplePos x="0" y="0"/>
                <wp:positionH relativeFrom="page">
                  <wp:posOffset>0</wp:posOffset>
                </wp:positionH>
                <wp:positionV relativeFrom="page">
                  <wp:posOffset>0</wp:posOffset>
                </wp:positionV>
                <wp:extent cx="432435" cy="8424545"/>
                <wp:effectExtent l="0" t="0" r="0" b="0"/>
                <wp:wrapNone/>
                <wp:docPr id="19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9792DD" id="Freeform 75" o:spid="_x0000_s1026" style="position:absolute;margin-left:0;margin-top:0;width:34.05pt;height:663.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BS7eVi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81"/>
        </w:numPr>
        <w:tabs>
          <w:tab w:val="left" w:pos="1531"/>
        </w:tabs>
        <w:kinsoku w:val="0"/>
        <w:overflowPunct w:val="0"/>
        <w:spacing w:before="77"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Bütün ehtimallar, o cümlədən xüsusi ehtimallar mövcud şəraitə uyğun olmalı, faktlarla əsaslandırılmalı və qiymətləndirmənin tələb olunduğu </w:t>
      </w:r>
      <w:r w:rsidRPr="009C2EF2">
        <w:rPr>
          <w:rFonts w:ascii="Times New Roman" w:hAnsi="Times New Roman"/>
          <w:i/>
          <w:color w:val="231F20"/>
          <w:spacing w:val="1"/>
          <w:sz w:val="24"/>
          <w:szCs w:val="24"/>
          <w:lang w:val="az-Latn-AZ"/>
        </w:rPr>
        <w:t xml:space="preserve">məqsədə </w:t>
      </w:r>
      <w:r w:rsidRPr="009C2EF2">
        <w:rPr>
          <w:rFonts w:ascii="Times New Roman" w:hAnsi="Times New Roman"/>
          <w:color w:val="231F20"/>
          <w:spacing w:val="1"/>
          <w:sz w:val="24"/>
          <w:szCs w:val="24"/>
          <w:lang w:val="az-Latn-AZ"/>
        </w:rPr>
        <w:t xml:space="preserve">uyğun </w:t>
      </w:r>
      <w:r w:rsidRPr="009C2EF2">
        <w:rPr>
          <w:rFonts w:ascii="Times New Roman" w:hAnsi="Times New Roman"/>
          <w:i/>
          <w:color w:val="231F20"/>
          <w:sz w:val="24"/>
          <w:szCs w:val="24"/>
          <w:lang w:val="az-Latn-AZ"/>
        </w:rPr>
        <w:t>gəlməlidir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80"/>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Əməliyyat Xərcləri</w:t>
      </w: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75026C">
      <w:pPr>
        <w:pStyle w:val="a3"/>
        <w:numPr>
          <w:ilvl w:val="1"/>
          <w:numId w:val="80"/>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b/>
          <w:noProof/>
          <w:sz w:val="24"/>
          <w:szCs w:val="24"/>
          <w:lang w:val="ru-RU" w:eastAsia="ru-RU"/>
        </w:rPr>
        <mc:AlternateContent>
          <mc:Choice Requires="wps">
            <w:drawing>
              <wp:anchor distT="0" distB="0" distL="114300" distR="114300" simplePos="0" relativeHeight="251566592" behindDoc="0" locked="0" layoutInCell="0" allowOverlap="1">
                <wp:simplePos x="0" y="0"/>
                <wp:positionH relativeFrom="page">
                  <wp:posOffset>151130</wp:posOffset>
                </wp:positionH>
                <wp:positionV relativeFrom="paragraph">
                  <wp:posOffset>1576705</wp:posOffset>
                </wp:positionV>
                <wp:extent cx="152400" cy="2710180"/>
                <wp:effectExtent l="0" t="0" r="0" b="0"/>
                <wp:wrapNone/>
                <wp:docPr id="1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1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7" type="#_x0000_t202" style="position:absolute;left:0;text-align:left;margin-left:11.9pt;margin-top:124.15pt;width:12pt;height:213.4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VHtAIAALc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104 Dəyər Bazaları</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Əksər dəyər bazaları satıcının satış xərclərinin və ya alıcının alış xərclərinin nəzərə alınmadığı, əməliyyatın birbaşa nəticəsi olaraq ödəniləcək vergilərin çıxılmadığı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pacing w:val="1"/>
          <w:sz w:val="24"/>
          <w:szCs w:val="24"/>
          <w:lang w:val="az-Latn-AZ"/>
        </w:rPr>
        <w:t>təxmini  birja qiymətini  ifadə edir.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ind w:left="4184" w:right="435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28</w:t>
      </w:r>
    </w:p>
    <w:p w:rsidR="00D02DD9" w:rsidRPr="009C2EF2" w:rsidRDefault="00D02DD9">
      <w:pPr>
        <w:pStyle w:val="a3"/>
        <w:kinsoku w:val="0"/>
        <w:overflowPunct w:val="0"/>
        <w:ind w:left="4184" w:right="4353"/>
        <w:jc w:val="center"/>
        <w:rPr>
          <w:rFonts w:ascii="Times New Roman" w:hAnsi="Times New Roman"/>
          <w:color w:val="000000"/>
          <w:sz w:val="24"/>
          <w:szCs w:val="24"/>
          <w:lang w:val="az-Latn-AZ"/>
        </w:rPr>
        <w:sectPr w:rsidR="00D02DD9" w:rsidRPr="009C2EF2">
          <w:footerReference w:type="default" r:id="rId3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6400" behindDoc="1" locked="0" layoutInCell="0" allowOverlap="1">
                <wp:simplePos x="0" y="0"/>
                <wp:positionH relativeFrom="page">
                  <wp:posOffset>5183505</wp:posOffset>
                </wp:positionH>
                <wp:positionV relativeFrom="page">
                  <wp:posOffset>0</wp:posOffset>
                </wp:positionV>
                <wp:extent cx="431800" cy="8423910"/>
                <wp:effectExtent l="0" t="0" r="0" b="0"/>
                <wp:wrapNone/>
                <wp:docPr id="19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B0E631" id="Freeform 77" o:spid="_x0000_s1026" style="position:absolute;margin-left:408.15pt;margin-top:0;width:34pt;height:663.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Q/egMAAHU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AE20Q/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bookmarkStart w:id="8" w:name="bookmark7"/>
      <w:bookmarkEnd w:id="8"/>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10"/>
        <w:ind w:left="0"/>
        <w:rPr>
          <w:rFonts w:ascii="Times New Roman" w:hAnsi="Times New Roman"/>
          <w:i/>
          <w:sz w:val="24"/>
          <w:szCs w:val="24"/>
          <w:lang w:val="az-Latn-AZ"/>
        </w:rPr>
      </w:pPr>
    </w:p>
    <w:p w:rsidR="00D02DD9" w:rsidRPr="009C2EF2" w:rsidRDefault="003C64E0">
      <w:pPr>
        <w:pStyle w:val="Heading21"/>
        <w:kinsoku w:val="0"/>
        <w:overflowPunct w:val="0"/>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105 Qiymətləndirmə Yanaşmaları və Metodları</w:t>
      </w:r>
    </w:p>
    <w:p w:rsidR="00D02DD9" w:rsidRPr="009C2EF2" w:rsidRDefault="00D02DD9">
      <w:pPr>
        <w:pStyle w:val="a3"/>
        <w:kinsoku w:val="0"/>
        <w:overflowPunct w:val="0"/>
        <w:spacing w:before="4"/>
        <w:ind w:left="0"/>
        <w:rPr>
          <w:rFonts w:ascii="Times New Roman" w:hAnsi="Times New Roman"/>
          <w:b/>
          <w:sz w:val="24"/>
          <w:szCs w:val="24"/>
          <w:lang w:val="az-Latn-AZ"/>
        </w:rPr>
      </w:pPr>
    </w:p>
    <w:tbl>
      <w:tblPr>
        <w:tblW w:w="0" w:type="auto"/>
        <w:tblInd w:w="114" w:type="dxa"/>
        <w:tblLayout w:type="fixed"/>
        <w:tblCellMar>
          <w:left w:w="0" w:type="dxa"/>
          <w:right w:w="0" w:type="dxa"/>
        </w:tblCellMar>
        <w:tblLook w:val="04A0" w:firstRow="1" w:lastRow="0" w:firstColumn="1" w:lastColumn="0" w:noHBand="0" w:noVBand="1"/>
      </w:tblPr>
      <w:tblGrid>
        <w:gridCol w:w="3990"/>
        <w:gridCol w:w="2756"/>
      </w:tblGrid>
      <w:tr w:rsidR="00D02DD9" w:rsidRPr="009C2EF2">
        <w:trPr>
          <w:trHeight w:hRule="exact" w:val="829"/>
        </w:trPr>
        <w:tc>
          <w:tcPr>
            <w:tcW w:w="3990"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z w:val="24"/>
                <w:szCs w:val="24"/>
                <w:lang w:val="az-Latn-AZ"/>
              </w:rPr>
              <w:t>Giriş</w:t>
            </w:r>
          </w:p>
        </w:tc>
        <w:tc>
          <w:tcPr>
            <w:tcW w:w="2756"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w w:val="95"/>
                <w:sz w:val="24"/>
                <w:szCs w:val="24"/>
                <w:lang w:val="az-Latn-AZ"/>
              </w:rPr>
              <w:t>20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Yanaşmasının Metodları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Yanaşmasının Metodları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 Metodları</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469"/>
        </w:trPr>
        <w:tc>
          <w:tcPr>
            <w:tcW w:w="399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Qiymətdən düşmə/Köhnəlmə</w:t>
            </w:r>
          </w:p>
        </w:tc>
        <w:tc>
          <w:tcPr>
            <w:tcW w:w="275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bl>
    <w:p w:rsidR="00D02DD9" w:rsidRPr="009C2EF2" w:rsidRDefault="0075026C">
      <w:pPr>
        <w:pStyle w:val="Heading41"/>
        <w:numPr>
          <w:ilvl w:val="0"/>
          <w:numId w:val="79"/>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7616" behindDoc="0" locked="0" layoutInCell="0" allowOverlap="1">
                <wp:simplePos x="0" y="0"/>
                <wp:positionH relativeFrom="page">
                  <wp:posOffset>5276215</wp:posOffset>
                </wp:positionH>
                <wp:positionV relativeFrom="paragraph">
                  <wp:posOffset>-555625</wp:posOffset>
                </wp:positionV>
                <wp:extent cx="152400" cy="4004945"/>
                <wp:effectExtent l="0" t="0" r="0" b="0"/>
                <wp:wrapNone/>
                <wp:docPr id="1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8" type="#_x0000_t202" style="position:absolute;left:0;text-align:left;margin-left:415.45pt;margin-top:-43.75pt;width:12pt;height:315.3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KKrQ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79"/>
        </w:numPr>
        <w:tabs>
          <w:tab w:val="left" w:pos="681"/>
        </w:tabs>
        <w:kinsoku w:val="0"/>
        <w:overflowPunct w:val="0"/>
        <w:spacing w:before="122"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Uyğun və müvafiq qiymətləndirmə yanaşmaları nəzərə </w:t>
      </w:r>
      <w:r w:rsidRPr="009C2EF2">
        <w:rPr>
          <w:rFonts w:ascii="Times New Roman" w:hAnsi="Times New Roman"/>
          <w:i/>
          <w:color w:val="231F20"/>
          <w:sz w:val="24"/>
          <w:szCs w:val="24"/>
          <w:lang w:val="az-Latn-AZ"/>
        </w:rPr>
        <w:t>alınmalıdır</w:t>
      </w:r>
      <w:r w:rsidRPr="009C2EF2">
        <w:rPr>
          <w:rFonts w:ascii="Times New Roman" w:hAnsi="Times New Roman"/>
          <w:color w:val="231F20"/>
          <w:sz w:val="24"/>
          <w:szCs w:val="24"/>
          <w:lang w:val="az-Latn-AZ"/>
        </w:rPr>
        <w:t>. Aşağıda təsvir edilmiş üç yanaşma qiymətləndirmə zamanı tətbiq olunan əsas yanaşmalardır.  Onlar qiymət tarazlığı, gəlirin proqnozlaşdırılması və ya əvəzedicinin iqtisadi prinsiplərinə əsaslanır.</w:t>
      </w:r>
    </w:p>
    <w:p w:rsidR="00D02DD9" w:rsidRPr="009C2EF2" w:rsidRDefault="003C64E0">
      <w:pPr>
        <w:pStyle w:val="a3"/>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qiymətləndirmə yanaşmalarına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gəlir yanaşması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79"/>
        </w:numPr>
        <w:tabs>
          <w:tab w:val="left" w:pos="681"/>
        </w:tabs>
        <w:kinsoku w:val="0"/>
        <w:overflowPunct w:val="0"/>
        <w:spacing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Bu qiymətləndirmə yanaşmalarının hər birinin müxtəlif tətbiqetmə metodları var.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9"/>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üçün qiymətləndirmə yanaşmaları və metodlarının seçilməsində məqsəd xüsusi şəraitdə ən uyğun metodu tapmaqdır. Eyni metod mümkün şərai</w:t>
      </w:r>
      <w:r w:rsidR="00B4259D" w:rsidRPr="009C2EF2">
        <w:rPr>
          <w:rFonts w:ascii="Times New Roman" w:hAnsi="Times New Roman"/>
          <w:color w:val="231F20"/>
          <w:sz w:val="24"/>
          <w:szCs w:val="24"/>
          <w:lang w:val="az-Latn-AZ"/>
        </w:rPr>
        <w:t>tlərin hər birinə uyğun g</w:t>
      </w:r>
      <w:r w:rsidRPr="009C2EF2">
        <w:rPr>
          <w:rFonts w:ascii="Times New Roman" w:hAnsi="Times New Roman"/>
          <w:color w:val="231F20"/>
          <w:sz w:val="24"/>
          <w:szCs w:val="24"/>
          <w:lang w:val="az-Latn-AZ"/>
        </w:rPr>
        <w:t>ələ bilməz. Seç</w:t>
      </w:r>
      <w:r w:rsidR="00B4259D" w:rsidRPr="009C2EF2">
        <w:rPr>
          <w:rFonts w:ascii="Times New Roman" w:hAnsi="Times New Roman"/>
          <w:color w:val="231F20"/>
          <w:sz w:val="24"/>
          <w:szCs w:val="24"/>
          <w:lang w:val="az-Latn-AZ"/>
        </w:rPr>
        <w:t>i</w:t>
      </w:r>
      <w:r w:rsidRPr="009C2EF2">
        <w:rPr>
          <w:rFonts w:ascii="Times New Roman" w:hAnsi="Times New Roman"/>
          <w:color w:val="231F20"/>
          <w:sz w:val="24"/>
          <w:szCs w:val="24"/>
          <w:lang w:val="az-Latn-AZ"/>
        </w:rPr>
        <w:t xml:space="preserve">m prosesində ən azı aşağıdakılar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spacing w:line="250" w:lineRule="auto"/>
        <w:ind w:left="964" w:right="152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tapşırığının </w:t>
      </w:r>
      <w:r w:rsidRPr="009C2EF2">
        <w:rPr>
          <w:rFonts w:ascii="Times New Roman" w:hAnsi="Times New Roman"/>
          <w:i/>
          <w:color w:val="231F20"/>
          <w:spacing w:val="1"/>
          <w:sz w:val="24"/>
          <w:szCs w:val="24"/>
          <w:lang w:val="az-Latn-AZ"/>
        </w:rPr>
        <w:t>məqsədi</w:t>
      </w:r>
      <w:r w:rsidRPr="009C2EF2">
        <w:rPr>
          <w:rFonts w:ascii="Times New Roman" w:hAnsi="Times New Roman"/>
          <w:color w:val="231F20"/>
          <w:sz w:val="24"/>
          <w:szCs w:val="24"/>
          <w:lang w:val="az-Latn-AZ"/>
        </w:rPr>
        <w:t xml:space="preserve"> və şərtlərinə uyğun dəyər bazası (bazaları) və dəyərləndirmə şərti (şərtləri),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spacing w:line="250" w:lineRule="auto"/>
        <w:ind w:left="964" w:right="1523"/>
        <w:rPr>
          <w:rFonts w:ascii="Times New Roman" w:hAnsi="Times New Roman"/>
          <w:color w:val="000000"/>
          <w:sz w:val="24"/>
          <w:szCs w:val="24"/>
          <w:lang w:val="az-Latn-AZ"/>
        </w:rPr>
      </w:pPr>
      <w:r w:rsidRPr="009C2EF2">
        <w:rPr>
          <w:rFonts w:ascii="Times New Roman" w:hAnsi="Times New Roman"/>
          <w:color w:val="231F20"/>
          <w:sz w:val="24"/>
          <w:szCs w:val="24"/>
          <w:lang w:val="az-Latn-AZ"/>
        </w:rPr>
        <w:t>mümkün qiymətləndirmə yanaşmaları və metodlarının güclü və zəif cəhətləri,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xarakteri nəzərə alınmaqla metodların məqsədəuyğunluğu və müvafiq bazarda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tərəfindən tətbiq olunan yanaşmalar və metodlar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və metodun (metodların) tətbiqi üçün tələb olunan etibarlı məlumatın mövcudluğu.</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79"/>
        </w:numPr>
        <w:tabs>
          <w:tab w:val="left" w:pos="681"/>
        </w:tabs>
        <w:kinsoku w:val="0"/>
        <w:overflowPunct w:val="0"/>
        <w:spacing w:line="250" w:lineRule="auto"/>
        <w:ind w:left="680" w:right="127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 </w:t>
      </w:r>
      <w:r w:rsidRPr="009C2EF2">
        <w:rPr>
          <w:rFonts w:ascii="Times New Roman" w:hAnsi="Times New Roman"/>
          <w:color w:val="231F20"/>
          <w:sz w:val="24"/>
          <w:szCs w:val="24"/>
          <w:lang w:val="az-Latn-AZ"/>
        </w:rPr>
        <w:t xml:space="preserve">metodun düzgünlüyündən və etibarlılığından əmin olduğu təqdirdə qiymətləndirmə tapşırığının faktları və şərtləri nəzərə alınmaqla </w:t>
      </w:r>
      <w:r w:rsidRPr="009C2EF2">
        <w:rPr>
          <w:rFonts w:ascii="Times New Roman" w:hAnsi="Times New Roman"/>
          <w:i/>
          <w:color w:val="231F20"/>
          <w:sz w:val="24"/>
          <w:szCs w:val="24"/>
          <w:lang w:val="az-Latn-AZ"/>
        </w:rPr>
        <w:t xml:space="preserve">qiymətləndiricidən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qiymətləndirməsi zamanı başqa metodlardan istifadə olunması tələb olunmur. Lakin, etibarlı nəticənin əldə olunması üçün vahid metod üzrə faktiki və müşahidə olunan məlumatların kifayət etmədiyi təqdirdə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çoxsaylı yanaşma və metodların tətbiqini nəzərə almalı və</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4"/>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29</w:t>
      </w:r>
    </w:p>
    <w:p w:rsidR="00D02DD9" w:rsidRPr="009C2EF2" w:rsidRDefault="00D02DD9">
      <w:pPr>
        <w:pStyle w:val="a3"/>
        <w:kinsoku w:val="0"/>
        <w:overflowPunct w:val="0"/>
        <w:spacing w:before="80"/>
        <w:ind w:left="2878" w:right="3724"/>
        <w:jc w:val="center"/>
        <w:rPr>
          <w:rFonts w:ascii="Times New Roman" w:hAnsi="Times New Roman"/>
          <w:color w:val="000000"/>
          <w:sz w:val="24"/>
          <w:szCs w:val="24"/>
          <w:lang w:val="az-Latn-AZ"/>
        </w:rPr>
        <w:sectPr w:rsidR="00D02DD9" w:rsidRPr="009C2EF2">
          <w:footerReference w:type="default" r:id="rId3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7424" behindDoc="1" locked="0" layoutInCell="0" allowOverlap="1">
                <wp:simplePos x="0" y="0"/>
                <wp:positionH relativeFrom="page">
                  <wp:posOffset>0</wp:posOffset>
                </wp:positionH>
                <wp:positionV relativeFrom="page">
                  <wp:posOffset>0</wp:posOffset>
                </wp:positionV>
                <wp:extent cx="432435" cy="8424545"/>
                <wp:effectExtent l="0" t="0" r="0" b="0"/>
                <wp:wrapNone/>
                <wp:docPr id="19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6B881E" id="Freeform 79" o:spid="_x0000_s1026" style="position:absolute;margin-left:0;margin-top:0;width:34.05pt;height:663.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jrFBMW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 göstəricisini müəyyənləşdirmək üçün birdən çox qiymətləndirmə yanaşması və ya metodu nəzərə </w:t>
      </w:r>
      <w:r w:rsidRPr="009C2EF2">
        <w:rPr>
          <w:rFonts w:ascii="Times New Roman" w:hAnsi="Times New Roman"/>
          <w:i/>
          <w:color w:val="231F20"/>
          <w:spacing w:val="1"/>
          <w:sz w:val="24"/>
          <w:szCs w:val="24"/>
          <w:lang w:val="az-Latn-AZ"/>
        </w:rPr>
        <w:t xml:space="preserve">alınmalı </w:t>
      </w:r>
      <w:r w:rsidRPr="009C2EF2">
        <w:rPr>
          <w:rFonts w:ascii="Times New Roman" w:hAnsi="Times New Roman"/>
          <w:color w:val="231F20"/>
          <w:sz w:val="24"/>
          <w:szCs w:val="24"/>
          <w:lang w:val="az-Latn-AZ"/>
        </w:rPr>
        <w:t xml:space="preserve">və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w:t>
      </w:r>
    </w:p>
    <w:p w:rsidR="00D02DD9" w:rsidRPr="009C2EF2" w:rsidRDefault="003C64E0">
      <w:pPr>
        <w:pStyle w:val="a3"/>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Birdən çox yanaşma və metodun, hətta vahid yanaşma əsasında çoxsaylı metodların tətbiq olunduğu təqdirdə bu çoxsaylı yanaşma və metodlar əsasında müəyyənləşdirilmiş dəyərin nəticəsi </w:t>
      </w:r>
      <w:r w:rsidRPr="009C2EF2">
        <w:rPr>
          <w:rFonts w:ascii="Times New Roman" w:hAnsi="Times New Roman"/>
          <w:i/>
          <w:color w:val="231F20"/>
          <w:spacing w:val="1"/>
          <w:sz w:val="24"/>
          <w:szCs w:val="24"/>
          <w:lang w:val="az-Latn-AZ"/>
        </w:rPr>
        <w:t xml:space="preserve">əsaslandırılmalı </w:t>
      </w:r>
      <w:r w:rsidRPr="009C2EF2">
        <w:rPr>
          <w:rFonts w:ascii="Times New Roman" w:hAnsi="Times New Roman"/>
          <w:color w:val="231F20"/>
          <w:spacing w:val="1"/>
          <w:sz w:val="24"/>
          <w:szCs w:val="24"/>
          <w:lang w:val="az-Latn-AZ"/>
        </w:rPr>
        <w:t xml:space="preserve">və dəyərlərin vahid şəkildə birləşdirilməsi və təhlili prosesi, orta göstəriciləri təsbit etmədən, hesabatda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tərəfindən </w:t>
      </w:r>
      <w:r w:rsidRPr="009C2EF2">
        <w:rPr>
          <w:rFonts w:ascii="Times New Roman" w:hAnsi="Times New Roman"/>
          <w:i/>
          <w:color w:val="231F20"/>
          <w:spacing w:val="1"/>
          <w:sz w:val="24"/>
          <w:szCs w:val="24"/>
          <w:lang w:val="az-Latn-AZ"/>
        </w:rPr>
        <w:t>göstərilməlidir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79"/>
        </w:numPr>
        <w:tabs>
          <w:tab w:val="left" w:pos="1531"/>
        </w:tabs>
        <w:kinsoku w:val="0"/>
        <w:overflowPunct w:val="0"/>
        <w:spacing w:line="250" w:lineRule="auto"/>
        <w:ind w:right="1216"/>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8640" behindDoc="0" locked="0" layoutInCell="0" allowOverlap="1">
                <wp:simplePos x="0" y="0"/>
                <wp:positionH relativeFrom="page">
                  <wp:posOffset>151130</wp:posOffset>
                </wp:positionH>
                <wp:positionV relativeFrom="paragraph">
                  <wp:posOffset>487680</wp:posOffset>
                </wp:positionV>
                <wp:extent cx="152400" cy="4004945"/>
                <wp:effectExtent l="0" t="0" r="0" b="0"/>
                <wp:wrapNone/>
                <wp:docPr id="1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9" type="#_x0000_t202" style="position:absolute;left:0;text-align:left;margin-left:11.9pt;margin-top:38.4pt;width:12pt;height:315.3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w0sQ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Bu standart daxilində Xərc, Bazar və Gəlir yanaşmaları üzrə müəyyən metodların müzakirə edilməsinə baxmayaraq standartda mümkün və </w:t>
      </w:r>
      <w:r w:rsidR="003C64E0" w:rsidRPr="009C2EF2">
        <w:rPr>
          <w:rFonts w:ascii="Times New Roman" w:hAnsi="Times New Roman"/>
          <w:i/>
          <w:color w:val="231F20"/>
          <w:spacing w:val="-1"/>
          <w:sz w:val="24"/>
          <w:szCs w:val="24"/>
          <w:lang w:val="az-Latn-AZ"/>
        </w:rPr>
        <w:t xml:space="preserve">uyğun </w:t>
      </w:r>
      <w:r w:rsidR="003C64E0" w:rsidRPr="009C2EF2">
        <w:rPr>
          <w:rFonts w:ascii="Times New Roman" w:hAnsi="Times New Roman"/>
          <w:color w:val="231F20"/>
          <w:sz w:val="24"/>
          <w:szCs w:val="24"/>
          <w:lang w:val="az-Latn-AZ"/>
        </w:rPr>
        <w:t>metodların tam siyahısı verilməyib. Bu standartda verilmiş metodlardan bəzilərinə opsion qiymətləndirm</w:t>
      </w:r>
      <w:r w:rsidR="00B4259D" w:rsidRPr="009C2EF2">
        <w:rPr>
          <w:rFonts w:ascii="Times New Roman" w:hAnsi="Times New Roman"/>
          <w:color w:val="231F20"/>
          <w:sz w:val="24"/>
          <w:szCs w:val="24"/>
          <w:lang w:val="az-Latn-AZ"/>
        </w:rPr>
        <w:t>ə metodları, simulyasiya/Monte K</w:t>
      </w:r>
      <w:r w:rsidR="003C64E0" w:rsidRPr="009C2EF2">
        <w:rPr>
          <w:rFonts w:ascii="Times New Roman" w:hAnsi="Times New Roman"/>
          <w:color w:val="231F20"/>
          <w:sz w:val="24"/>
          <w:szCs w:val="24"/>
          <w:lang w:val="az-Latn-AZ"/>
        </w:rPr>
        <w:t xml:space="preserve">arlo metodları və ehtimal </w:t>
      </w:r>
      <w:r w:rsidR="003C64E0" w:rsidRPr="009C2EF2">
        <w:rPr>
          <w:rFonts w:ascii="Times New Roman" w:hAnsi="Times New Roman"/>
          <w:i/>
          <w:color w:val="231F20"/>
          <w:sz w:val="24"/>
          <w:szCs w:val="24"/>
          <w:lang w:val="az-Latn-AZ"/>
        </w:rPr>
        <w:t xml:space="preserve">çəkili </w:t>
      </w:r>
      <w:r w:rsidR="003C64E0" w:rsidRPr="009C2EF2">
        <w:rPr>
          <w:rFonts w:ascii="Times New Roman" w:hAnsi="Times New Roman"/>
          <w:color w:val="231F20"/>
          <w:sz w:val="24"/>
          <w:szCs w:val="24"/>
          <w:lang w:val="az-Latn-AZ"/>
        </w:rPr>
        <w:t xml:space="preserve">gözlənilən gəlir metodları daxildir (PWERM). Qiymətləndirmə işi üçün uyğun metodun (metodların) seçilməsinə görə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z w:val="24"/>
          <w:szCs w:val="24"/>
          <w:lang w:val="az-Latn-AZ"/>
        </w:rPr>
        <w:t xml:space="preserve">məsuliyyət daşıyır. BQS ilə uyğunluq </w:t>
      </w:r>
      <w:r w:rsidR="003C64E0" w:rsidRPr="009C2EF2">
        <w:rPr>
          <w:rFonts w:ascii="Times New Roman" w:hAnsi="Times New Roman"/>
          <w:i/>
          <w:color w:val="231F20"/>
          <w:spacing w:val="-2"/>
          <w:sz w:val="24"/>
          <w:szCs w:val="24"/>
          <w:lang w:val="az-Latn-AZ"/>
        </w:rPr>
        <w:t xml:space="preserve">qiymətləndiricidən </w:t>
      </w:r>
      <w:r w:rsidR="003C64E0" w:rsidRPr="009C2EF2">
        <w:rPr>
          <w:rFonts w:ascii="Times New Roman" w:hAnsi="Times New Roman"/>
          <w:color w:val="231F20"/>
          <w:sz w:val="24"/>
          <w:szCs w:val="24"/>
          <w:lang w:val="az-Latn-AZ"/>
        </w:rPr>
        <w:t xml:space="preserve">BQS-də qeyd olunmamış metodun istifadə olunmasını tələb edə </w:t>
      </w:r>
      <w:r w:rsidR="003C64E0" w:rsidRPr="009C2EF2">
        <w:rPr>
          <w:rFonts w:ascii="Times New Roman" w:hAnsi="Times New Roman"/>
          <w:i/>
          <w:color w:val="231F20"/>
          <w:sz w:val="24"/>
          <w:szCs w:val="24"/>
          <w:lang w:val="az-Latn-AZ"/>
        </w:rPr>
        <w:t>bilər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79"/>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Müxtəlif yanaşma və metodların tətbiqi nəticəsində olduqca fərqli dəyər göstəriciləri əldə olunduqda qiymətləndirici dəyər göstəricilərinin fərqlənmə səbəblərini aydınlaşdırmaq üçün müvafiq proseduralar həyata </w:t>
      </w:r>
      <w:r w:rsidRPr="009C2EF2">
        <w:rPr>
          <w:rFonts w:ascii="Times New Roman" w:hAnsi="Times New Roman"/>
          <w:i/>
          <w:color w:val="231F20"/>
          <w:sz w:val="24"/>
          <w:szCs w:val="24"/>
          <w:lang w:val="az-Latn-AZ"/>
        </w:rPr>
        <w:t>keçirməlidir</w:t>
      </w:r>
      <w:r w:rsidRPr="009C2EF2">
        <w:rPr>
          <w:rFonts w:ascii="Times New Roman" w:hAnsi="Times New Roman"/>
          <w:color w:val="231F20"/>
          <w:spacing w:val="1"/>
          <w:sz w:val="24"/>
          <w:szCs w:val="24"/>
          <w:lang w:val="az-Latn-AZ"/>
        </w:rPr>
        <w:t>, belə</w:t>
      </w:r>
      <w:r w:rsidR="00B4259D" w:rsidRPr="009C2EF2">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ki</w:t>
      </w:r>
      <w:r w:rsidR="00B4259D" w:rsidRPr="009C2EF2">
        <w:rPr>
          <w:rFonts w:ascii="Times New Roman" w:hAnsi="Times New Roman"/>
          <w:color w:val="231F20"/>
          <w:spacing w:val="1"/>
          <w:sz w:val="24"/>
          <w:szCs w:val="24"/>
          <w:lang w:val="az-Latn-AZ"/>
        </w:rPr>
        <w:t>,</w:t>
      </w:r>
      <w:r w:rsidRPr="009C2EF2">
        <w:rPr>
          <w:rFonts w:ascii="Times New Roman" w:hAnsi="Times New Roman"/>
          <w:color w:val="231F20"/>
          <w:spacing w:val="1"/>
          <w:sz w:val="24"/>
          <w:szCs w:val="24"/>
          <w:lang w:val="az-Latn-AZ"/>
        </w:rPr>
        <w:t xml:space="preserve"> dəyərin iki və ya daha çox fərqli göstəricisinin sadəcə </w:t>
      </w:r>
      <w:r w:rsidR="00B4259D" w:rsidRPr="009C2EF2">
        <w:rPr>
          <w:rFonts w:ascii="Times New Roman" w:hAnsi="Times New Roman"/>
          <w:i/>
          <w:color w:val="231F20"/>
          <w:sz w:val="24"/>
          <w:szCs w:val="24"/>
          <w:lang w:val="az-Latn-AZ"/>
        </w:rPr>
        <w:t>müəyyənləşdirilmə</w:t>
      </w:r>
      <w:r w:rsidRPr="009C2EF2">
        <w:rPr>
          <w:rFonts w:ascii="Times New Roman" w:hAnsi="Times New Roman"/>
          <w:i/>
          <w:color w:val="231F20"/>
          <w:sz w:val="24"/>
          <w:szCs w:val="24"/>
          <w:lang w:val="az-Latn-AZ"/>
        </w:rPr>
        <w:t xml:space="preserve">si </w:t>
      </w:r>
      <w:r w:rsidRPr="009C2EF2">
        <w:rPr>
          <w:rFonts w:ascii="Times New Roman" w:hAnsi="Times New Roman"/>
          <w:color w:val="231F20"/>
          <w:spacing w:val="1"/>
          <w:sz w:val="24"/>
          <w:szCs w:val="24"/>
          <w:lang w:val="az-Latn-AZ"/>
        </w:rPr>
        <w:t xml:space="preserve">kifayət etmir. Bu kimi hallarda, </w:t>
      </w:r>
      <w:r w:rsidRPr="009C2EF2">
        <w:rPr>
          <w:rFonts w:ascii="Times New Roman" w:hAnsi="Times New Roman"/>
          <w:i/>
          <w:color w:val="231F20"/>
          <w:sz w:val="24"/>
          <w:szCs w:val="24"/>
          <w:lang w:val="az-Latn-AZ"/>
        </w:rPr>
        <w:t>qiymətləndiricilər</w:t>
      </w:r>
      <w:r w:rsidR="00B4259D" w:rsidRPr="009C2EF2">
        <w:rPr>
          <w:rFonts w:ascii="Times New Roman" w:hAnsi="Times New Roman"/>
          <w:i/>
          <w:color w:val="231F20"/>
          <w:sz w:val="24"/>
          <w:szCs w:val="24"/>
          <w:lang w:val="az-Latn-AZ"/>
        </w:rPr>
        <w:t xml:space="preserve"> </w:t>
      </w:r>
      <w:r w:rsidRPr="009C2EF2">
        <w:rPr>
          <w:rFonts w:ascii="Times New Roman" w:hAnsi="Times New Roman"/>
          <w:color w:val="231F20"/>
          <w:spacing w:val="1"/>
          <w:sz w:val="24"/>
          <w:szCs w:val="24"/>
          <w:lang w:val="az-Latn-AZ"/>
        </w:rPr>
        <w:t xml:space="preserve">tətbiq edilmiş yanaşma/metod nəticəsində daha yaxşı və daha etibarlı dəyər göstəricisinin əldə edilib-edilməməsini müəyyənləşdirmək məqsədi ilə 10.3 bəndindəki təlimatlara yenidən </w:t>
      </w:r>
      <w:r w:rsidRPr="009C2EF2">
        <w:rPr>
          <w:rFonts w:ascii="Times New Roman" w:hAnsi="Times New Roman"/>
          <w:i/>
          <w:color w:val="231F20"/>
          <w:spacing w:val="1"/>
          <w:sz w:val="24"/>
          <w:szCs w:val="24"/>
          <w:lang w:val="az-Latn-AZ"/>
        </w:rPr>
        <w:t>baxmalıdırlar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9"/>
        </w:numPr>
        <w:tabs>
          <w:tab w:val="left" w:pos="1531"/>
        </w:tabs>
        <w:kinsoku w:val="0"/>
        <w:overflowPunct w:val="0"/>
        <w:spacing w:line="250" w:lineRule="auto"/>
        <w:ind w:right="1182"/>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 </w:t>
      </w:r>
      <w:r w:rsidRPr="009C2EF2">
        <w:rPr>
          <w:rFonts w:ascii="Times New Roman" w:hAnsi="Times New Roman"/>
          <w:color w:val="231F20"/>
          <w:spacing w:val="1"/>
          <w:sz w:val="24"/>
          <w:szCs w:val="24"/>
          <w:lang w:val="az-Latn-AZ"/>
        </w:rPr>
        <w:t xml:space="preserve">üç yanaşmanın hər birində müşahidə olunan uyğun bazar məlumatlarından istifadəni maksimallaşdırmalıdırlar. Qiymətləndirmədə istifadə olunan məlumat və ehtimalların mənbəyindən asılı olmayaraq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bu məlumat və ehtimalları, eləcə də, onların </w:t>
      </w:r>
      <w:r w:rsidRPr="009C2EF2">
        <w:rPr>
          <w:rFonts w:ascii="Times New Roman" w:hAnsi="Times New Roman"/>
          <w:i/>
          <w:color w:val="231F20"/>
          <w:sz w:val="24"/>
          <w:szCs w:val="24"/>
          <w:lang w:val="az-Latn-AZ"/>
        </w:rPr>
        <w:lastRenderedPageBreak/>
        <w:t>qiymətləndirmə məqsədinə</w:t>
      </w:r>
      <w:r w:rsidRPr="009C2EF2">
        <w:rPr>
          <w:rFonts w:ascii="Times New Roman" w:hAnsi="Times New Roman"/>
          <w:color w:val="231F20"/>
          <w:spacing w:val="1"/>
          <w:sz w:val="24"/>
          <w:szCs w:val="24"/>
          <w:lang w:val="az-Latn-AZ"/>
        </w:rPr>
        <w:t xml:space="preserve"> uyğunluğunu qiymətləndirmək üçün uyğun təhlillər aparmalıdır.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9"/>
        </w:numPr>
        <w:tabs>
          <w:tab w:val="left" w:pos="1531"/>
        </w:tabs>
        <w:kinsoku w:val="0"/>
        <w:overflowPunct w:val="0"/>
        <w:spacing w:line="250" w:lineRule="auto"/>
        <w:ind w:right="152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Tək bir yanaşmanın/metodun bütün hallara uyğun hesab olunmamasına baxmayaraq qiymət ilə bağlı fəal bazardan əldə olunan  məlumat ən güclü dəyər göstəricisi hesab olunur.  Bəzi dəyər bazaları </w:t>
      </w:r>
      <w:r w:rsidRPr="009C2EF2">
        <w:rPr>
          <w:rFonts w:ascii="Times New Roman" w:hAnsi="Times New Roman"/>
          <w:i/>
          <w:color w:val="231F20"/>
          <w:sz w:val="24"/>
          <w:szCs w:val="24"/>
          <w:lang w:val="az-Latn-AZ"/>
        </w:rPr>
        <w:t xml:space="preserve">qiymətləndiricilərin </w:t>
      </w:r>
      <w:r w:rsidRPr="009C2EF2">
        <w:rPr>
          <w:rFonts w:ascii="Times New Roman" w:hAnsi="Times New Roman"/>
          <w:color w:val="231F20"/>
          <w:spacing w:val="1"/>
          <w:sz w:val="24"/>
          <w:szCs w:val="24"/>
          <w:lang w:val="az-Latn-AZ"/>
        </w:rPr>
        <w:t xml:space="preserve">qiymət ilə bağlı fəal bazardan əldə olunan məlumatda subyektiv dəyişiklik etməsinə qadağa qoya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Qeyri-fəal bazardan əldə olunan qiymət ilə bağlı məlumat yaxşı dəyər göstəricisi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lakin üzərində subyektiv dəyişikliklərin edilməsi tələb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8"/>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3C64E0">
      <w:pPr>
        <w:pStyle w:val="a3"/>
        <w:numPr>
          <w:ilvl w:val="1"/>
          <w:numId w:val="78"/>
        </w:numPr>
        <w:tabs>
          <w:tab w:val="left" w:pos="1531"/>
        </w:tabs>
        <w:kinsoku w:val="0"/>
        <w:overflowPunct w:val="0"/>
        <w:spacing w:before="122" w:line="250" w:lineRule="auto"/>
        <w:ind w:right="154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yanaşması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qiymət ilə bağlı məlumatları əlçatan olan oxşar </w:t>
      </w:r>
      <w:r w:rsidRPr="009C2EF2">
        <w:rPr>
          <w:rFonts w:ascii="Times New Roman" w:hAnsi="Times New Roman"/>
          <w:i/>
          <w:color w:val="231F20"/>
          <w:sz w:val="24"/>
          <w:szCs w:val="24"/>
          <w:lang w:val="az-Latn-AZ"/>
        </w:rPr>
        <w:t xml:space="preserve">aktivlə </w:t>
      </w:r>
      <w:r w:rsidRPr="009C2EF2">
        <w:rPr>
          <w:rFonts w:ascii="Times New Roman" w:hAnsi="Times New Roman"/>
          <w:color w:val="231F20"/>
          <w:sz w:val="24"/>
          <w:szCs w:val="24"/>
          <w:lang w:val="az-Latn-AZ"/>
        </w:rPr>
        <w:t>müqayisə edərək dəyər göstəricisini təmin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78"/>
        </w:numPr>
        <w:tabs>
          <w:tab w:val="left" w:pos="153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yanaşması aşağıdakı hallarda tətbiq </w:t>
      </w:r>
      <w:r w:rsidRPr="009C2EF2">
        <w:rPr>
          <w:rFonts w:ascii="Times New Roman" w:hAnsi="Times New Roman"/>
          <w:i/>
          <w:color w:val="231F20"/>
          <w:spacing w:val="1"/>
          <w:sz w:val="24"/>
          <w:szCs w:val="24"/>
          <w:lang w:val="az-Latn-AZ"/>
        </w:rPr>
        <w:t xml:space="preserve">olunmalı </w:t>
      </w:r>
      <w:r w:rsidRPr="009C2EF2">
        <w:rPr>
          <w:rFonts w:ascii="Times New Roman" w:hAnsi="Times New Roman"/>
          <w:color w:val="231F20"/>
          <w:sz w:val="24"/>
          <w:szCs w:val="24"/>
          <w:lang w:val="az-Latn-AZ"/>
        </w:rPr>
        <w:t xml:space="preserve">və </w:t>
      </w:r>
      <w:r w:rsidRPr="009C2EF2">
        <w:rPr>
          <w:rFonts w:ascii="Times New Roman" w:hAnsi="Times New Roman"/>
          <w:i/>
          <w:color w:val="231F20"/>
          <w:sz w:val="24"/>
          <w:szCs w:val="24"/>
          <w:lang w:val="az-Latn-AZ"/>
        </w:rPr>
        <w:t>qiymətləndirilməlidir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8"/>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qiymətləndirmə tarixinə yaxın bir zamanda dəyər bazasına uyğun şəkildə satılması,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1815"/>
        </w:tabs>
        <w:kinsoku w:val="0"/>
        <w:overflowPunct w:val="0"/>
        <w:spacing w:line="250" w:lineRule="auto"/>
        <w:ind w:left="1814" w:right="161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və ya əhəmiyyətli dərəcədə oxşar olan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bazarda fəal satışı və/və ya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əhəmiyyətli dərəcədə oxşar olan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ilə bağlı tez-tez əməliyyatların olması.</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30</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3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8448" behindDoc="1" locked="0" layoutInCell="0" allowOverlap="1">
                <wp:simplePos x="0" y="0"/>
                <wp:positionH relativeFrom="page">
                  <wp:posOffset>5183505</wp:posOffset>
                </wp:positionH>
                <wp:positionV relativeFrom="page">
                  <wp:posOffset>0</wp:posOffset>
                </wp:positionV>
                <wp:extent cx="431800" cy="8423910"/>
                <wp:effectExtent l="0" t="0" r="0" b="0"/>
                <wp:wrapNone/>
                <wp:docPr id="18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E3E4C66" id="Freeform 81" o:spid="_x0000_s1026" style="position:absolute;margin-left:408.15pt;margin-top:0;width:34pt;height:663.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C0rze7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3C64E0" w:rsidP="00A51157">
      <w:pPr>
        <w:pStyle w:val="a3"/>
        <w:numPr>
          <w:ilvl w:val="1"/>
          <w:numId w:val="78"/>
        </w:numPr>
        <w:tabs>
          <w:tab w:val="left" w:pos="681"/>
        </w:tabs>
        <w:kinsoku w:val="0"/>
        <w:overflowPunct w:val="0"/>
        <w:spacing w:before="77" w:line="250" w:lineRule="auto"/>
        <w:ind w:left="680" w:right="134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Yuxarıdakı şərtlərin bazar yanaşmasının tətbiq </w:t>
      </w:r>
      <w:r w:rsidRPr="009C2EF2">
        <w:rPr>
          <w:rFonts w:ascii="Times New Roman" w:hAnsi="Times New Roman"/>
          <w:i/>
          <w:color w:val="231F20"/>
          <w:spacing w:val="1"/>
          <w:sz w:val="24"/>
          <w:szCs w:val="24"/>
          <w:lang w:val="az-Latn-AZ"/>
        </w:rPr>
        <w:t>olunmasını</w:t>
      </w:r>
      <w:r w:rsidR="00B4259D"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və </w:t>
      </w:r>
      <w:r w:rsidRPr="009C2EF2">
        <w:rPr>
          <w:rFonts w:ascii="Times New Roman" w:hAnsi="Times New Roman"/>
          <w:i/>
          <w:color w:val="231F20"/>
          <w:sz w:val="24"/>
          <w:szCs w:val="24"/>
          <w:lang w:val="az-Latn-AZ"/>
        </w:rPr>
        <w:t xml:space="preserve">qiymətləndirilməsini </w:t>
      </w:r>
      <w:r w:rsidRPr="009C2EF2">
        <w:rPr>
          <w:rFonts w:ascii="Times New Roman" w:hAnsi="Times New Roman"/>
          <w:color w:val="231F20"/>
          <w:spacing w:val="1"/>
          <w:sz w:val="24"/>
          <w:szCs w:val="24"/>
          <w:lang w:val="az-Latn-AZ"/>
        </w:rPr>
        <w:t xml:space="preserve">tələb etdiyi halda yuxarıdakı meyarlara cavab verilmədikdə bazar yanaşmasının tətbiq oluna və </w:t>
      </w:r>
      <w:r w:rsidRPr="009C2EF2">
        <w:rPr>
          <w:rFonts w:ascii="Times New Roman" w:hAnsi="Times New Roman"/>
          <w:i/>
          <w:color w:val="231F20"/>
          <w:sz w:val="24"/>
          <w:szCs w:val="24"/>
          <w:lang w:val="az-Latn-AZ"/>
        </w:rPr>
        <w:t xml:space="preserve">qiymətləndirilə </w:t>
      </w:r>
      <w:r w:rsidRPr="009C2EF2">
        <w:rPr>
          <w:rFonts w:ascii="Times New Roman" w:hAnsi="Times New Roman"/>
          <w:i/>
          <w:color w:val="231F20"/>
          <w:spacing w:val="-1"/>
          <w:sz w:val="24"/>
          <w:szCs w:val="24"/>
          <w:lang w:val="az-Latn-AZ"/>
        </w:rPr>
        <w:t xml:space="preserve">bilməsi </w:t>
      </w:r>
      <w:r w:rsidRPr="009C2EF2">
        <w:rPr>
          <w:rFonts w:ascii="Times New Roman" w:hAnsi="Times New Roman"/>
          <w:color w:val="231F20"/>
          <w:spacing w:val="1"/>
          <w:sz w:val="24"/>
          <w:szCs w:val="24"/>
          <w:lang w:val="az-Latn-AZ"/>
        </w:rPr>
        <w:t>üçün əlavə şərtlər müəyyən edilir. Aşağıdakı şərtlər əsasında bazar yanaşmasından istifadə edərkən</w:t>
      </w:r>
      <w:r w:rsidR="00B4259D"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digər yanaşmaların tətbiq edilib-edilməyəcəyini və bazar yanaşmasından əldə olunan dəyər göstəricisinin təsdiqlənməsi üçün həmin yanaşmaların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olub-olmamasını aşağıdakı hallarda nəzərdən keçirməlidir: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965"/>
        </w:tabs>
        <w:kinsoku w:val="0"/>
        <w:overflowPunct w:val="0"/>
        <w:spacing w:line="250" w:lineRule="auto"/>
        <w:ind w:left="964" w:right="121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Bazarda fəaliyyət və dəyişkənlik səviyyəsinə nəzərən qiymətləndirilən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və əhəmiyyətli dərəcədə oxşar olan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cəlb olunduğu əməliyyatların yeni olmadığı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8"/>
        </w:numPr>
        <w:tabs>
          <w:tab w:val="left" w:pos="965"/>
        </w:tabs>
        <w:kinsoku w:val="0"/>
        <w:overflowPunct w:val="0"/>
        <w:spacing w:line="250" w:lineRule="auto"/>
        <w:ind w:left="964" w:right="2059"/>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69664" behindDoc="0" locked="0" layoutInCell="0" allowOverlap="1">
                <wp:simplePos x="0" y="0"/>
                <wp:positionH relativeFrom="page">
                  <wp:posOffset>5276215</wp:posOffset>
                </wp:positionH>
                <wp:positionV relativeFrom="paragraph">
                  <wp:posOffset>107315</wp:posOffset>
                </wp:positionV>
                <wp:extent cx="152400" cy="4004945"/>
                <wp:effectExtent l="0" t="0" r="0" b="0"/>
                <wp:wrapNone/>
                <wp:docPr id="1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0" type="#_x0000_t202" style="position:absolute;left:0;text-align:left;margin-left:415.45pt;margin-top:8.45pt;width:12pt;height:315.3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dArQ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 xml:space="preserve">və ya əhəmiyyətli dərəcədə oxşar olan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bazara çıxarıldığı, lakin fəal olmadığı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965"/>
        </w:tabs>
        <w:kinsoku w:val="0"/>
        <w:overflowPunct w:val="0"/>
        <w:spacing w:line="250" w:lineRule="auto"/>
        <w:ind w:left="964"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əməliyyatları haqqında məlumatların mövcud olmadığı, lakin müqayisə olunan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i/>
          <w:color w:val="231F20"/>
          <w:sz w:val="24"/>
          <w:szCs w:val="24"/>
          <w:lang w:val="az-Latn-AZ"/>
        </w:rPr>
        <w:t>əhəmiyyətli şəkildə</w:t>
      </w:r>
      <w:r w:rsidRPr="009C2EF2">
        <w:rPr>
          <w:rFonts w:ascii="Times New Roman" w:hAnsi="Times New Roman"/>
          <w:color w:val="231F20"/>
          <w:sz w:val="24"/>
          <w:szCs w:val="24"/>
          <w:lang w:val="az-Latn-AZ"/>
        </w:rPr>
        <w:t xml:space="preserve"> fər</w:t>
      </w:r>
      <w:r w:rsidR="00B4259D" w:rsidRPr="009C2EF2">
        <w:rPr>
          <w:rFonts w:ascii="Times New Roman" w:hAnsi="Times New Roman"/>
          <w:color w:val="231F20"/>
          <w:sz w:val="24"/>
          <w:szCs w:val="24"/>
          <w:lang w:val="az-Latn-AZ"/>
        </w:rPr>
        <w:t>q</w:t>
      </w:r>
      <w:r w:rsidRPr="009C2EF2">
        <w:rPr>
          <w:rFonts w:ascii="Times New Roman" w:hAnsi="Times New Roman"/>
          <w:color w:val="231F20"/>
          <w:sz w:val="24"/>
          <w:szCs w:val="24"/>
          <w:lang w:val="az-Latn-AZ"/>
        </w:rPr>
        <w:t>ləndiyi və subyektiv dəyişikliklərin aparılmasını tələb etdiyi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Sonuncu əməliyyatlar haqqında məlumatların etibarlı olmadığı təqdirdə (əsassız, məlumat çatışmazlığı, sinergetik alıcı, qeyri-rəsmilik, zəif satış və s. )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8"/>
        </w:numPr>
        <w:tabs>
          <w:tab w:val="left" w:pos="965"/>
        </w:tabs>
        <w:kinsoku w:val="0"/>
        <w:overflowPunct w:val="0"/>
        <w:spacing w:line="250" w:lineRule="auto"/>
        <w:ind w:left="964" w:right="1279"/>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dəyərinə təsir edən mühüm elementin istehsalat xərcləri və ya gəlirlilik əsasında deyil, bazar əsasında müəyyənləşəcək qiymətin olduğu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8"/>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Əksər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heterogen xüsusiyyəti oxşar/eyni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cəlb olunduğu əməliyyatlar üzrə  bazar sübutunun, adətən, tapılmadığını ifadə edir.</w:t>
      </w:r>
    </w:p>
    <w:p w:rsidR="00D02DD9" w:rsidRPr="009C2EF2" w:rsidRDefault="003C64E0">
      <w:pPr>
        <w:pStyle w:val="a3"/>
        <w:kinsoku w:val="0"/>
        <w:overflowPunct w:val="0"/>
        <w:spacing w:line="250" w:lineRule="auto"/>
        <w:ind w:left="680" w:right="143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Bazar yanaşmasının istifadə olunmadığı hallarda belə</w:t>
      </w:r>
      <w:r w:rsidR="00B4259D" w:rsidRPr="009C2EF2">
        <w:rPr>
          <w:rFonts w:ascii="Times New Roman" w:hAnsi="Times New Roman"/>
          <w:color w:val="231F20"/>
          <w:spacing w:val="-1"/>
          <w:sz w:val="24"/>
          <w:szCs w:val="24"/>
          <w:lang w:val="az-Latn-AZ"/>
        </w:rPr>
        <w:t>,</w:t>
      </w:r>
      <w:r w:rsidRPr="009C2EF2">
        <w:rPr>
          <w:rFonts w:ascii="Times New Roman" w:hAnsi="Times New Roman"/>
          <w:color w:val="231F20"/>
          <w:spacing w:val="-1"/>
          <w:sz w:val="24"/>
          <w:szCs w:val="24"/>
          <w:lang w:val="az-Latn-AZ"/>
        </w:rPr>
        <w:t xml:space="preserve"> bazar əsaslı giriş məlumatları digər yanaşmaların tətbiqində </w:t>
      </w:r>
      <w:r w:rsidRPr="009C2EF2">
        <w:rPr>
          <w:rFonts w:ascii="Times New Roman" w:hAnsi="Times New Roman"/>
          <w:i/>
          <w:color w:val="231F20"/>
          <w:spacing w:val="1"/>
          <w:sz w:val="24"/>
          <w:szCs w:val="24"/>
          <w:lang w:val="az-Latn-AZ"/>
        </w:rPr>
        <w:t>maksimallaşdırılmalıdır</w:t>
      </w:r>
    </w:p>
    <w:p w:rsidR="00D02DD9" w:rsidRPr="009C2EF2" w:rsidRDefault="003C64E0">
      <w:pPr>
        <w:pStyle w:val="a3"/>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(faktiki gəlir və gəlirlilik faizi kimi bazar əsaslı qiymətləndirmə göstəriciləri).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8"/>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Müqayisə edilə bilən bazar məlumatları eyni və ya əhəmiyyətli dərəcədə oxşar </w:t>
      </w:r>
      <w:r w:rsidRPr="009C2EF2">
        <w:rPr>
          <w:rFonts w:ascii="Times New Roman" w:hAnsi="Times New Roman"/>
          <w:i/>
          <w:color w:val="231F20"/>
          <w:spacing w:val="-1"/>
          <w:sz w:val="24"/>
          <w:szCs w:val="24"/>
          <w:lang w:val="az-Latn-AZ"/>
        </w:rPr>
        <w:t xml:space="preserve">aktivlərə </w:t>
      </w:r>
      <w:r w:rsidRPr="009C2EF2">
        <w:rPr>
          <w:rFonts w:ascii="Times New Roman" w:hAnsi="Times New Roman"/>
          <w:color w:val="231F20"/>
          <w:spacing w:val="1"/>
          <w:sz w:val="24"/>
          <w:szCs w:val="24"/>
          <w:lang w:val="az-Latn-AZ"/>
        </w:rPr>
        <w:t xml:space="preserve">aid edilmədikdə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müqayisə edilə bilən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 xml:space="preserve">arasındakı kəmiyyət və keyfiyyət oxşarlıqları və fərqliliklərinin müqayisəli təhlilini aparmalıdır. Müqayisəli təhlillər əsasında, adətən, müvafiq dəyişikliklərin edilməsi tələb olunur. Belə dəyişikliklər </w:t>
      </w:r>
      <w:r w:rsidRPr="009C2EF2">
        <w:rPr>
          <w:rFonts w:ascii="Times New Roman" w:hAnsi="Times New Roman"/>
          <w:i/>
          <w:color w:val="231F20"/>
          <w:sz w:val="24"/>
          <w:szCs w:val="24"/>
          <w:lang w:val="az-Latn-AZ"/>
        </w:rPr>
        <w:t xml:space="preserve">əsaslandırılmalıdır </w:t>
      </w:r>
      <w:r w:rsidRPr="009C2EF2">
        <w:rPr>
          <w:rFonts w:ascii="Times New Roman" w:hAnsi="Times New Roman"/>
          <w:color w:val="231F20"/>
          <w:spacing w:val="1"/>
          <w:sz w:val="24"/>
          <w:szCs w:val="24"/>
          <w:lang w:val="az-Latn-AZ"/>
        </w:rPr>
        <w:t xml:space="preserve">və qiymətləndirici dəyişikliklərin edilmə səbəblərini və onların necə müəyyənləşdirildiyini </w:t>
      </w:r>
      <w:r w:rsidRPr="009C2EF2">
        <w:rPr>
          <w:rFonts w:ascii="Times New Roman" w:hAnsi="Times New Roman"/>
          <w:i/>
          <w:color w:val="231F20"/>
          <w:sz w:val="24"/>
          <w:szCs w:val="24"/>
          <w:lang w:val="az-Latn-AZ"/>
        </w:rPr>
        <w:t>sənədləşdirməlidir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8"/>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yanaşmasında, adətən, müqayisə edilə bilən aktivlərdən əldə olunmuş bazar əmsallarından istifadə olunur. Uyğun əmsal seçimi kəmiyyət və keyfiyyət amilləri nəzərə alınmaqla əsaslandırılmalıdır.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7"/>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Yanaşmasının Metodları</w:t>
      </w:r>
    </w:p>
    <w:p w:rsidR="00D02DD9" w:rsidRPr="009C2EF2" w:rsidRDefault="003C64E0">
      <w:pPr>
        <w:pStyle w:val="Heading51"/>
        <w:kinsoku w:val="0"/>
        <w:overflowPunct w:val="0"/>
        <w:spacing w:before="122"/>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Müqayisə Edilə Bilən Əməliyyat Metodu</w:t>
      </w:r>
    </w:p>
    <w:p w:rsidR="00D02DD9" w:rsidRPr="009C2EF2" w:rsidRDefault="003C64E0">
      <w:pPr>
        <w:pStyle w:val="a3"/>
        <w:numPr>
          <w:ilvl w:val="1"/>
          <w:numId w:val="77"/>
        </w:numPr>
        <w:tabs>
          <w:tab w:val="left" w:pos="681"/>
        </w:tabs>
        <w:kinsoku w:val="0"/>
        <w:overflowPunct w:val="0"/>
        <w:spacing w:before="122"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Müqayisə edilə bilən əməliyyatlar metodu rəhbər əməliyyatlar metodu kimi də tanınır və dəyər göstəricisini əldə etmək üçün 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ilə eyni və ya oxşar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cəlb olunduğu əməliyyatlar üzrə mövcud məlumatlardan istifadə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681"/>
        </w:tabs>
        <w:kinsoku w:val="0"/>
        <w:overflowPunct w:val="0"/>
        <w:spacing w:line="250" w:lineRule="auto"/>
        <w:ind w:left="680" w:right="133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 xml:space="preserve">cəlb olunduğu müqayisə edilə bilən əməliyyatlar metodu əsas əməliyyat metodu kimi də tanınır.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874" w:right="3725"/>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31</w:t>
      </w:r>
    </w:p>
    <w:p w:rsidR="00D02DD9" w:rsidRPr="009C2EF2" w:rsidRDefault="00D02DD9">
      <w:pPr>
        <w:pStyle w:val="a3"/>
        <w:kinsoku w:val="0"/>
        <w:overflowPunct w:val="0"/>
        <w:spacing w:before="80"/>
        <w:ind w:left="2874" w:right="3725"/>
        <w:jc w:val="center"/>
        <w:rPr>
          <w:rFonts w:ascii="Times New Roman" w:hAnsi="Times New Roman"/>
          <w:color w:val="000000"/>
          <w:sz w:val="24"/>
          <w:szCs w:val="24"/>
          <w:lang w:val="az-Latn-AZ"/>
        </w:rPr>
        <w:sectPr w:rsidR="00D02DD9" w:rsidRPr="009C2EF2">
          <w:footerReference w:type="default" r:id="rId3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89472" behindDoc="1" locked="0" layoutInCell="0" allowOverlap="1">
                <wp:simplePos x="0" y="0"/>
                <wp:positionH relativeFrom="page">
                  <wp:posOffset>0</wp:posOffset>
                </wp:positionH>
                <wp:positionV relativeFrom="page">
                  <wp:posOffset>0</wp:posOffset>
                </wp:positionV>
                <wp:extent cx="432435" cy="8424545"/>
                <wp:effectExtent l="0" t="0" r="0" b="0"/>
                <wp:wrapNone/>
                <wp:docPr id="18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BCB7BC" id="Freeform 83" o:spid="_x0000_s1026" style="position:absolute;margin-left:0;margin-top:0;width:34.05pt;height:663.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ezqvj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B4259D">
      <w:pPr>
        <w:pStyle w:val="a3"/>
        <w:numPr>
          <w:ilvl w:val="1"/>
          <w:numId w:val="77"/>
        </w:numPr>
        <w:tabs>
          <w:tab w:val="left" w:pos="1531"/>
        </w:tabs>
        <w:kinsoku w:val="0"/>
        <w:overflowPunct w:val="0"/>
        <w:spacing w:before="77" w:line="250" w:lineRule="auto"/>
        <w:ind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Yenicə həyata keçirilmiş əməliyyatlar ilə bağlı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satış üçün nəzərdə tutulmuş eyni və ya oxşar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qiymətinə nəzər sala bilər, o halda ki, bu məlumatın uyğunluğu açıq şəkildə göstərilmiş, yüksək səviyyədə təhlil edilmiş və sənədləşdirilmiş olsun. Bu metod bəzən müqayisə edilə bilən siyahılar metodu kimi də istinad edilir və bu metoddan yeganə dəyər göstəricisi kimi istifadə </w:t>
      </w:r>
      <w:r w:rsidRPr="009C2EF2">
        <w:rPr>
          <w:rFonts w:ascii="Times New Roman" w:hAnsi="Times New Roman"/>
          <w:i/>
          <w:color w:val="231F20"/>
          <w:spacing w:val="1"/>
          <w:sz w:val="24"/>
          <w:szCs w:val="24"/>
          <w:lang w:val="az-Latn-AZ"/>
        </w:rPr>
        <w:t>olunmamalıdır</w:t>
      </w:r>
      <w:r w:rsidRPr="009C2EF2">
        <w:rPr>
          <w:rFonts w:ascii="Times New Roman" w:hAnsi="Times New Roman"/>
          <w:color w:val="231F20"/>
          <w:sz w:val="24"/>
          <w:szCs w:val="24"/>
          <w:lang w:val="az-Latn-AZ"/>
        </w:rPr>
        <w:t>, bu metod</w:t>
      </w:r>
    </w:p>
    <w:p w:rsidR="00D02DD9" w:rsidRPr="009C2EF2" w:rsidRDefault="003C64E0" w:rsidP="00B4259D">
      <w:pPr>
        <w:pStyle w:val="a3"/>
        <w:kinsoku w:val="0"/>
        <w:overflowPunct w:val="0"/>
        <w:spacing w:line="250" w:lineRule="auto"/>
        <w:ind w:right="117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digər metodlarla birlikdə tətbiq edilə bilər. Alqı-satqı siyahılarına və təkliflərinə baxış zamanı siyahı və ya təklif qiymətində qiymətə </w:t>
      </w:r>
      <w:r w:rsidRPr="009C2EF2">
        <w:rPr>
          <w:rFonts w:ascii="Times New Roman" w:hAnsi="Times New Roman"/>
          <w:i/>
          <w:color w:val="231F20"/>
          <w:sz w:val="24"/>
          <w:szCs w:val="24"/>
          <w:lang w:val="az-Latn-AZ"/>
        </w:rPr>
        <w:t xml:space="preserve">xas </w:t>
      </w:r>
      <w:r w:rsidRPr="009C2EF2">
        <w:rPr>
          <w:rFonts w:ascii="Times New Roman" w:hAnsi="Times New Roman"/>
          <w:color w:val="231F20"/>
          <w:sz w:val="24"/>
          <w:szCs w:val="24"/>
          <w:lang w:val="az-Latn-AZ"/>
        </w:rPr>
        <w:t xml:space="preserve">öhdəlik səviyyəsi və siyahının/təklifin bazarda mövcud olma müddəti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 xml:space="preserve">. Məsələn, verilmiş qiymətdə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alışı və satışı ilə bağlı məcburi öhdəliyi ifadə edən təklifə</w:t>
      </w:r>
      <w:r w:rsidR="00B4259D" w:rsidRPr="009C2EF2">
        <w:rPr>
          <w:rFonts w:ascii="Times New Roman" w:hAnsi="Times New Roman"/>
          <w:color w:val="231F20"/>
          <w:sz w:val="24"/>
          <w:szCs w:val="24"/>
          <w:lang w:val="az-Latn-AZ"/>
        </w:rPr>
        <w:t xml:space="preserve"> </w:t>
      </w:r>
      <w:r w:rsidR="0075026C"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70688" behindDoc="0" locked="0" layoutInCell="0" allowOverlap="1">
                <wp:simplePos x="0" y="0"/>
                <wp:positionH relativeFrom="page">
                  <wp:posOffset>151130</wp:posOffset>
                </wp:positionH>
                <wp:positionV relativeFrom="paragraph">
                  <wp:posOffset>321310</wp:posOffset>
                </wp:positionV>
                <wp:extent cx="152400" cy="4004945"/>
                <wp:effectExtent l="0" t="0" r="0" b="0"/>
                <wp:wrapNone/>
                <wp:docPr id="1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left:0;text-align:left;margin-left:11.9pt;margin-top:25.3pt;width:12pt;height:315.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ZPrw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Pr="009C2EF2">
        <w:rPr>
          <w:rFonts w:ascii="Times New Roman" w:hAnsi="Times New Roman"/>
          <w:color w:val="231F20"/>
          <w:sz w:val="24"/>
          <w:szCs w:val="24"/>
          <w:lang w:val="az-Latn-AZ"/>
        </w:rPr>
        <w:t xml:space="preserve">belə öhdəliyi olmayan kotirovkadan daha çox </w:t>
      </w:r>
      <w:r w:rsidRPr="009C2EF2">
        <w:rPr>
          <w:rFonts w:ascii="Times New Roman" w:hAnsi="Times New Roman"/>
          <w:i/>
          <w:color w:val="231F20"/>
          <w:sz w:val="24"/>
          <w:szCs w:val="24"/>
          <w:lang w:val="az-Latn-AZ"/>
        </w:rPr>
        <w:t xml:space="preserve">əhəmiyyət </w:t>
      </w:r>
      <w:r w:rsidRPr="009C2EF2">
        <w:rPr>
          <w:rFonts w:ascii="Times New Roman" w:hAnsi="Times New Roman"/>
          <w:color w:val="231F20"/>
          <w:sz w:val="24"/>
          <w:szCs w:val="24"/>
          <w:lang w:val="az-Latn-AZ"/>
        </w:rPr>
        <w:t xml:space="preserve">verilə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rsidP="00B425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B4259D">
      <w:pPr>
        <w:pStyle w:val="a3"/>
        <w:numPr>
          <w:ilvl w:val="1"/>
          <w:numId w:val="77"/>
        </w:numPr>
        <w:tabs>
          <w:tab w:val="left" w:pos="1531"/>
        </w:tabs>
        <w:kinsoku w:val="0"/>
        <w:overflowPunct w:val="0"/>
        <w:spacing w:line="250" w:lineRule="auto"/>
        <w:ind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Müqayisə edilə bilən əməliyyat metodunda müqayisə əsasında formalaşan və müqayisə vahidləri kimi tanınan müxtəlif müqayisə edilə bilən məlumatlardan istifadə oluna bilər. Məsələn, daşınmaz əmlak münasibətlərində ən çox istifadə olunan müqayisə vahidlərinə hər kvadrat metrə düşən qiymət, hər kvadrat metrə düşən icarə haqqı və</w:t>
      </w:r>
      <w:r w:rsidR="00B4259D" w:rsidRPr="009C2EF2">
        <w:rPr>
          <w:rFonts w:ascii="Times New Roman" w:hAnsi="Times New Roman"/>
          <w:color w:val="231F20"/>
          <w:spacing w:val="-1"/>
          <w:sz w:val="24"/>
          <w:szCs w:val="24"/>
          <w:lang w:val="az-Latn-AZ"/>
        </w:rPr>
        <w:t xml:space="preserve"> </w:t>
      </w:r>
      <w:r w:rsidRPr="009C2EF2">
        <w:rPr>
          <w:rFonts w:ascii="Times New Roman" w:hAnsi="Times New Roman"/>
          <w:color w:val="231F20"/>
          <w:spacing w:val="-2"/>
          <w:sz w:val="24"/>
          <w:szCs w:val="24"/>
          <w:lang w:val="az-Latn-AZ"/>
        </w:rPr>
        <w:t xml:space="preserve">kapitallaşma dərəcəsi daxildir. Biznes qiymətləndirməsində ən çox istifadə olunan müqayisə vahidlərinə EBITDA (Faiz, Vergi, Qiymətdən düşmə və Amortizasiya ödənilməzdən qabaq əldə olunan mənfəət) əmsalları, qazanc əmsalları, gəlir əmsalları və balans dəyəri əmsalları daxildir. Maliyyə alətlərinin qiymətləndirməsində ən çox istifadə olunan müqayisə vahidlərinə gəlir və faiz dərəcəsi spredi kimi göstəricilər daxildir. </w:t>
      </w:r>
      <w:r w:rsidRPr="009C2EF2">
        <w:rPr>
          <w:rFonts w:ascii="Times New Roman" w:hAnsi="Times New Roman"/>
          <w:i/>
          <w:color w:val="231F20"/>
          <w:spacing w:val="-1"/>
          <w:sz w:val="24"/>
          <w:szCs w:val="24"/>
          <w:lang w:val="az-Latn-AZ"/>
        </w:rPr>
        <w:t xml:space="preserve">Iştirakçılar </w:t>
      </w:r>
      <w:r w:rsidRPr="009C2EF2">
        <w:rPr>
          <w:rFonts w:ascii="Times New Roman" w:hAnsi="Times New Roman"/>
          <w:color w:val="231F20"/>
          <w:spacing w:val="-2"/>
          <w:sz w:val="24"/>
          <w:szCs w:val="24"/>
          <w:lang w:val="az-Latn-AZ"/>
        </w:rPr>
        <w:t xml:space="preserve">tərəfindən istifadə olunan müqayisə vahidləri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2"/>
          <w:sz w:val="24"/>
          <w:szCs w:val="24"/>
          <w:lang w:val="az-Latn-AZ"/>
        </w:rPr>
        <w:t>sinfinə, sənayesinə və coğrafiyasına görə fərqlənə bilər.</w:t>
      </w:r>
    </w:p>
    <w:p w:rsidR="00D02DD9" w:rsidRPr="009C2EF2" w:rsidRDefault="00D02DD9" w:rsidP="00B425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B4259D">
      <w:pPr>
        <w:pStyle w:val="a3"/>
        <w:numPr>
          <w:ilvl w:val="1"/>
          <w:numId w:val="77"/>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Müqayisə edilə bilən əməliyyatlar metodunun par</w:t>
      </w:r>
      <w:r w:rsidR="00B4259D" w:rsidRPr="009C2EF2">
        <w:rPr>
          <w:rFonts w:ascii="Times New Roman" w:hAnsi="Times New Roman"/>
          <w:color w:val="231F20"/>
          <w:sz w:val="24"/>
          <w:szCs w:val="24"/>
          <w:lang w:val="az-Latn-AZ"/>
        </w:rPr>
        <w:t>ametrlərinə borc qiymətli kağız</w:t>
      </w:r>
      <w:r w:rsidRPr="009C2EF2">
        <w:rPr>
          <w:rFonts w:ascii="Times New Roman" w:hAnsi="Times New Roman"/>
          <w:color w:val="231F20"/>
          <w:sz w:val="24"/>
          <w:szCs w:val="24"/>
          <w:lang w:val="az-Latn-AZ"/>
        </w:rPr>
        <w:t>ları kimi bəzi maliyyə alətlərinin qiymətləndirilməsi üçün istifadə olunan və</w:t>
      </w:r>
      <w:r w:rsidR="00B4259D"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müəyyən qiymətli kağızların kotirovkasına deyil, qiymətli kağızların dövriyyədə olan digər qiymətli kağızlara və onların atributlarına (məsələn, gəlir) münasibətinə əsaslanan matris qiymətqoyma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Müqayisə edilə bilən əməliyyatlar metodunun əsas addımlarına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7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müvafiq bazarda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1"/>
          <w:sz w:val="24"/>
          <w:szCs w:val="24"/>
          <w:lang w:val="az-Latn-AZ"/>
        </w:rPr>
        <w:t>tərəfindən istifadə olunan müqayisə vahidlərinin müəyyənləşdirilməsi,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7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müqayisə edilə bilən əməliyyatların müəyyənləşdirilməsi və həmin əməliyyatlar üzrə əsas qiymətləndirmə göstəricilərinin hesablanması,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müqayisə edilə bilən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2"/>
          <w:sz w:val="24"/>
          <w:szCs w:val="24"/>
          <w:lang w:val="az-Latn-AZ"/>
        </w:rPr>
        <w:t xml:space="preserve">qiymətləndirilən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2"/>
          <w:sz w:val="24"/>
          <w:szCs w:val="24"/>
          <w:lang w:val="az-Latn-AZ"/>
        </w:rPr>
        <w:t>arasında kəmiyyət və keyfiyyət oxşarlıq və fərqliliklərinin müqayisəli təhlilinin aparılması,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1"/>
          <w:sz w:val="24"/>
          <w:szCs w:val="24"/>
          <w:lang w:val="az-Latn-AZ"/>
        </w:rPr>
        <w:t xml:space="preserve">müqayisə edilə bilən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arasındakı fə</w:t>
      </w:r>
      <w:r w:rsidR="00B4259D" w:rsidRPr="009C2EF2">
        <w:rPr>
          <w:rFonts w:ascii="Times New Roman" w:hAnsi="Times New Roman"/>
          <w:color w:val="231F20"/>
          <w:spacing w:val="-1"/>
          <w:sz w:val="24"/>
          <w:szCs w:val="24"/>
          <w:lang w:val="az-Latn-AZ"/>
        </w:rPr>
        <w:t>r</w:t>
      </w:r>
      <w:r w:rsidRPr="009C2EF2">
        <w:rPr>
          <w:rFonts w:ascii="Times New Roman" w:hAnsi="Times New Roman"/>
          <w:color w:val="231F20"/>
          <w:spacing w:val="-1"/>
          <w:sz w:val="24"/>
          <w:szCs w:val="24"/>
          <w:lang w:val="az-Latn-AZ"/>
        </w:rPr>
        <w:t>qliliklərin göstərilməsi məqsədi ilə qiymətləndirmə göstəriciləri üzərində zəruri dəyişikliklərin edilməsi (30.12(d) bəndinə baxın),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B4259D">
      <w:pPr>
        <w:pStyle w:val="a3"/>
        <w:numPr>
          <w:ilvl w:val="2"/>
          <w:numId w:val="77"/>
        </w:numPr>
        <w:tabs>
          <w:tab w:val="left" w:pos="1815"/>
        </w:tabs>
        <w:kinsoku w:val="0"/>
        <w:overflowPunct w:val="0"/>
        <w:ind w:left="1814" w:right="120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aktivlərə </w:t>
      </w:r>
      <w:r w:rsidRPr="009C2EF2">
        <w:rPr>
          <w:rFonts w:ascii="Times New Roman" w:hAnsi="Times New Roman"/>
          <w:color w:val="231F20"/>
          <w:sz w:val="24"/>
          <w:szCs w:val="24"/>
          <w:lang w:val="az-Latn-AZ"/>
        </w:rPr>
        <w:t>üzərində dəyişikliklər aparılmış qiymətləndirmə göstəricilərinin tətbiq edilməsi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çoxsaylı qiymətləndirmə göstəricilərindən istifadə olunduğu təqdirdə dəyər göstəricilərinin tənzimlənməsi.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77"/>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 xml:space="preserve">Qiymətləndirici </w:t>
      </w:r>
      <w:r w:rsidRPr="009C2EF2">
        <w:rPr>
          <w:rFonts w:ascii="Times New Roman" w:hAnsi="Times New Roman"/>
          <w:color w:val="231F20"/>
          <w:sz w:val="24"/>
          <w:szCs w:val="24"/>
          <w:lang w:val="az-Latn-AZ"/>
        </w:rPr>
        <w:t>aşağıdakı kontekst əsasında müqayisə edilə bilən əməliyyatları seçməlidir: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71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bir deyil bir neçə əməliyyatın aparılması, </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32</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3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0496" behindDoc="1" locked="0" layoutInCell="0" allowOverlap="1">
                <wp:simplePos x="0" y="0"/>
                <wp:positionH relativeFrom="page">
                  <wp:posOffset>5183505</wp:posOffset>
                </wp:positionH>
                <wp:positionV relativeFrom="page">
                  <wp:posOffset>0</wp:posOffset>
                </wp:positionV>
                <wp:extent cx="431800" cy="8423910"/>
                <wp:effectExtent l="0" t="0" r="0" b="0"/>
                <wp:wrapNone/>
                <wp:docPr id="1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81CF7F" id="Freeform 85" o:spid="_x0000_s1026" style="position:absolute;margin-left:408.15pt;margin-top:0;width:34pt;height:663.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wCewMAAHU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3U2cAnsDAAB1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77"/>
        </w:numPr>
        <w:tabs>
          <w:tab w:val="left" w:pos="965"/>
        </w:tabs>
        <w:kinsoku w:val="0"/>
        <w:overflowPunct w:val="0"/>
        <w:spacing w:before="77" w:line="250" w:lineRule="auto"/>
        <w:ind w:left="964"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oxşar (əhəmiyyətli dərəcədə oxşar)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aparılmış əməliyyatların əməliyyat qiymətlərində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 xml:space="preserve">dəyişikliklərin tələb olunduğu </w:t>
      </w:r>
      <w:r w:rsidRPr="009C2EF2">
        <w:rPr>
          <w:rFonts w:ascii="Times New Roman" w:hAnsi="Times New Roman"/>
          <w:i/>
          <w:color w:val="231F20"/>
          <w:sz w:val="24"/>
          <w:szCs w:val="24"/>
          <w:lang w:val="az-Latn-AZ"/>
        </w:rPr>
        <w:t xml:space="preserve">aktivlərdən </w:t>
      </w:r>
      <w:r w:rsidRPr="009C2EF2">
        <w:rPr>
          <w:rFonts w:ascii="Times New Roman" w:hAnsi="Times New Roman"/>
          <w:color w:val="231F20"/>
          <w:sz w:val="24"/>
          <w:szCs w:val="24"/>
          <w:lang w:val="az-Latn-AZ"/>
        </w:rPr>
        <w:t>daha yaxşı dəyər göstəricisini təmin etməsi,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tarixinə yaxın bir vaxtda aparılmış əməliyyatların əvvəlki əməliyyatlar ilə müqayisədə bazarı, xüsusilə də, qeyri-sabit bazarı daha dəqiq əks etdirməsi,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63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əksər dəyər bazası üzrə əməliyyatların müstəqil tərəflər arasında </w:t>
      </w:r>
      <w:r w:rsidRPr="009C2EF2">
        <w:rPr>
          <w:rFonts w:ascii="Times New Roman" w:hAnsi="Times New Roman"/>
          <w:i/>
          <w:color w:val="231F20"/>
          <w:spacing w:val="1"/>
          <w:sz w:val="24"/>
          <w:szCs w:val="24"/>
          <w:lang w:val="az-Latn-AZ"/>
        </w:rPr>
        <w:t>"rəsmiləşdirilməsi"</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7"/>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1712" behindDoc="0" locked="0" layoutInCell="0" allowOverlap="1">
                <wp:simplePos x="0" y="0"/>
                <wp:positionH relativeFrom="page">
                  <wp:posOffset>5276215</wp:posOffset>
                </wp:positionH>
                <wp:positionV relativeFrom="paragraph">
                  <wp:posOffset>273050</wp:posOffset>
                </wp:positionV>
                <wp:extent cx="152400" cy="4004945"/>
                <wp:effectExtent l="0" t="0" r="0" b="0"/>
                <wp:wrapNone/>
                <wp:docPr id="1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2" type="#_x0000_t202" style="position:absolute;left:0;text-align:left;margin-left:415.45pt;margin-top:21.5pt;width:12pt;height:315.3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z w:val="24"/>
          <w:szCs w:val="24"/>
          <w:lang w:val="az-Latn-AZ"/>
        </w:rPr>
        <w:t xml:space="preserve">qiymətləndiricinin </w:t>
      </w:r>
      <w:r w:rsidR="003C64E0" w:rsidRPr="009C2EF2">
        <w:rPr>
          <w:rFonts w:ascii="Times New Roman" w:hAnsi="Times New Roman"/>
          <w:color w:val="231F20"/>
          <w:spacing w:val="1"/>
          <w:sz w:val="24"/>
          <w:szCs w:val="24"/>
          <w:lang w:val="az-Latn-AZ"/>
        </w:rPr>
        <w:t xml:space="preserve">müqayisə edilə bilən </w:t>
      </w:r>
      <w:r w:rsidR="003C64E0" w:rsidRPr="009C2EF2">
        <w:rPr>
          <w:rFonts w:ascii="Times New Roman" w:hAnsi="Times New Roman"/>
          <w:i/>
          <w:color w:val="231F20"/>
          <w:sz w:val="24"/>
          <w:szCs w:val="24"/>
          <w:lang w:val="az-Latn-AZ"/>
        </w:rPr>
        <w:t xml:space="preserve">aktivi </w:t>
      </w:r>
      <w:r w:rsidR="003C64E0" w:rsidRPr="009C2EF2">
        <w:rPr>
          <w:rFonts w:ascii="Times New Roman" w:hAnsi="Times New Roman"/>
          <w:color w:val="231F20"/>
          <w:spacing w:val="1"/>
          <w:sz w:val="24"/>
          <w:szCs w:val="24"/>
          <w:lang w:val="az-Latn-AZ"/>
        </w:rPr>
        <w:t xml:space="preserve">başa düşməsi və qiymətləndirmə göstəricilərini müqayisə edə bilməsi üçün əməliyyat haqqında kifayət qədər məlumatının </w:t>
      </w:r>
      <w:r w:rsidR="003C64E0" w:rsidRPr="009C2EF2">
        <w:rPr>
          <w:rFonts w:ascii="Times New Roman" w:hAnsi="Times New Roman"/>
          <w:i/>
          <w:color w:val="231F20"/>
          <w:spacing w:val="1"/>
          <w:sz w:val="24"/>
          <w:szCs w:val="24"/>
          <w:lang w:val="az-Latn-AZ"/>
        </w:rPr>
        <w:t>olması</w:t>
      </w:r>
      <w:r w:rsidR="003C64E0"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00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müqayisə edilə bilən əməliyyatlar haqqında məlumatın etibarlı mənbədən </w:t>
      </w:r>
      <w:r w:rsidRPr="009C2EF2">
        <w:rPr>
          <w:rFonts w:ascii="Times New Roman" w:hAnsi="Times New Roman"/>
          <w:i/>
          <w:color w:val="231F20"/>
          <w:spacing w:val="1"/>
          <w:sz w:val="24"/>
          <w:szCs w:val="24"/>
          <w:lang w:val="az-Latn-AZ"/>
        </w:rPr>
        <w:t>olması</w:t>
      </w:r>
      <w:r w:rsidR="00B4259D"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486"/>
        <w:rPr>
          <w:rFonts w:ascii="Times New Roman" w:hAnsi="Times New Roman"/>
          <w:color w:val="000000"/>
          <w:sz w:val="24"/>
          <w:szCs w:val="24"/>
          <w:lang w:val="az-Latn-AZ"/>
        </w:rPr>
      </w:pPr>
      <w:r w:rsidRPr="009C2EF2">
        <w:rPr>
          <w:rFonts w:ascii="Times New Roman" w:hAnsi="Times New Roman"/>
          <w:color w:val="231F20"/>
          <w:sz w:val="24"/>
          <w:szCs w:val="24"/>
          <w:lang w:val="az-Latn-AZ"/>
        </w:rPr>
        <w:t>faktiki əməliyyatların planlaşdırılmış əməliyyatlar ilə müqayisədə daha yaxşı qiymətləndirmə göstəricisini təmin etməsi.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müqayisə edilə bilən əməliyyatlar ilə qiymətləndirilən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arasındakı əhəmiyyətli fərqlilikləri təhlil etməli və zəruri düzəlişlər etməlidir. Düzəlişlərin edi</w:t>
      </w:r>
      <w:r w:rsidR="00B4259D" w:rsidRPr="009C2EF2">
        <w:rPr>
          <w:rFonts w:ascii="Times New Roman" w:hAnsi="Times New Roman"/>
          <w:color w:val="231F20"/>
          <w:sz w:val="24"/>
          <w:szCs w:val="24"/>
          <w:lang w:val="az-Latn-AZ"/>
        </w:rPr>
        <w:t>l</w:t>
      </w:r>
      <w:r w:rsidRPr="009C2EF2">
        <w:rPr>
          <w:rFonts w:ascii="Times New Roman" w:hAnsi="Times New Roman"/>
          <w:color w:val="231F20"/>
          <w:sz w:val="24"/>
          <w:szCs w:val="24"/>
          <w:lang w:val="az-Latn-AZ"/>
        </w:rPr>
        <w:t>məsini tələb edən əsas fə</w:t>
      </w:r>
      <w:r w:rsidR="00B4259D" w:rsidRPr="009C2EF2">
        <w:rPr>
          <w:rFonts w:ascii="Times New Roman" w:hAnsi="Times New Roman"/>
          <w:color w:val="231F20"/>
          <w:sz w:val="24"/>
          <w:szCs w:val="24"/>
          <w:lang w:val="az-Latn-AZ"/>
        </w:rPr>
        <w:t>r</w:t>
      </w:r>
      <w:r w:rsidRPr="009C2EF2">
        <w:rPr>
          <w:rFonts w:ascii="Times New Roman" w:hAnsi="Times New Roman"/>
          <w:color w:val="231F20"/>
          <w:sz w:val="24"/>
          <w:szCs w:val="24"/>
          <w:lang w:val="az-Latn-AZ"/>
        </w:rPr>
        <w:t xml:space="preserve">qliliklərə aşağıdakılar (lakin bunlarla məhdudlaşmır) </w:t>
      </w:r>
      <w:r w:rsidRPr="009C2EF2">
        <w:rPr>
          <w:rFonts w:ascii="Times New Roman" w:hAnsi="Times New Roman"/>
          <w:i/>
          <w:color w:val="231F20"/>
          <w:spacing w:val="-1"/>
          <w:sz w:val="24"/>
          <w:szCs w:val="24"/>
          <w:lang w:val="az-Latn-AZ"/>
        </w:rPr>
        <w:t>daxildir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əhəmiyyətli xüsusiyyətlər (müddət, ölçü, spesifikasiyalar və s.),</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258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və müqayisə edilə bilən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ilə bağlı məhdudiyyətlər,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coğrafi mövqe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yeri və/və ya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istifadə olunacağı yer) və iqtisadi və tənzimləyici mühit,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lastRenderedPageBreak/>
        <w:t xml:space="preserve">aktivlərin </w:t>
      </w:r>
      <w:r w:rsidRPr="009C2EF2">
        <w:rPr>
          <w:rFonts w:ascii="Times New Roman" w:hAnsi="Times New Roman"/>
          <w:color w:val="231F20"/>
          <w:spacing w:val="1"/>
          <w:sz w:val="24"/>
          <w:szCs w:val="24"/>
          <w:lang w:val="az-Latn-AZ"/>
        </w:rPr>
        <w:t>gəlirliliyi və ya gəlir yaratma qabiliyyəti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əvvəlki artım və gözlənilən artım,</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məhsuldarlıq/kupon dərəcəsi,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girov növləri,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müqayisə edilə bilən əməliyyatların fərqli şərtləri,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və müqayisə edilə bilən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rəqabət qabiliyyəti və nəzarət xüsusiyyətləri ilə bağlı fərqliliklər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811"/>
        <w:rPr>
          <w:rFonts w:ascii="Times New Roman" w:hAnsi="Times New Roman"/>
          <w:color w:val="000000"/>
          <w:sz w:val="24"/>
          <w:szCs w:val="24"/>
          <w:lang w:val="az-Latn-AZ"/>
        </w:rPr>
      </w:pPr>
      <w:r w:rsidRPr="009C2EF2">
        <w:rPr>
          <w:rFonts w:ascii="Times New Roman" w:hAnsi="Times New Roman"/>
          <w:color w:val="231F20"/>
          <w:sz w:val="24"/>
          <w:szCs w:val="24"/>
          <w:lang w:val="az-Latn-AZ"/>
        </w:rPr>
        <w:t>sahibkarlıq fəaliyyətinin xüsusiyyətləri (məsələn, sahibkarlıq fəaliyyətinin hüquqi forması, faiz məbləği).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İctimaiyyətə açıq müqayisəli rəhbər metod</w:t>
      </w:r>
    </w:p>
    <w:p w:rsidR="00D02DD9" w:rsidRPr="009C2EF2" w:rsidRDefault="003C64E0">
      <w:pPr>
        <w:pStyle w:val="a3"/>
        <w:numPr>
          <w:ilvl w:val="1"/>
          <w:numId w:val="77"/>
        </w:numPr>
        <w:tabs>
          <w:tab w:val="left" w:pos="681"/>
        </w:tabs>
        <w:kinsoku w:val="0"/>
        <w:overflowPunct w:val="0"/>
        <w:spacing w:before="122" w:line="250" w:lineRule="auto"/>
        <w:ind w:left="680" w:right="106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 göstəricisini müəyyənləşdirmək üçün ictimaiyyətə açıq metodda qiymətləndirilən </w:t>
      </w:r>
      <w:r w:rsidRPr="009C2EF2">
        <w:rPr>
          <w:rFonts w:ascii="Times New Roman" w:hAnsi="Times New Roman"/>
          <w:i/>
          <w:color w:val="231F20"/>
          <w:sz w:val="24"/>
          <w:szCs w:val="24"/>
          <w:lang w:val="az-Latn-AZ"/>
        </w:rPr>
        <w:t>aktivlər</w:t>
      </w:r>
      <w:r w:rsidR="000B31C1" w:rsidRPr="009C2EF2">
        <w:rPr>
          <w:rFonts w:ascii="Times New Roman" w:hAnsi="Times New Roman"/>
          <w:i/>
          <w:color w:val="231F20"/>
          <w:sz w:val="24"/>
          <w:szCs w:val="24"/>
          <w:lang w:val="az-Latn-AZ"/>
        </w:rPr>
        <w:t xml:space="preserve"> i</w:t>
      </w:r>
      <w:r w:rsidRPr="009C2EF2">
        <w:rPr>
          <w:rFonts w:ascii="Times New Roman" w:hAnsi="Times New Roman"/>
          <w:i/>
          <w:color w:val="231F20"/>
          <w:sz w:val="24"/>
          <w:szCs w:val="24"/>
          <w:lang w:val="az-Latn-AZ"/>
        </w:rPr>
        <w:t xml:space="preserve">lə </w:t>
      </w:r>
      <w:r w:rsidRPr="009C2EF2">
        <w:rPr>
          <w:rFonts w:ascii="Times New Roman" w:hAnsi="Times New Roman"/>
          <w:color w:val="231F20"/>
          <w:sz w:val="24"/>
          <w:szCs w:val="24"/>
          <w:lang w:val="az-Latn-AZ"/>
        </w:rPr>
        <w:t>eyni və ya oxşar olan, ictimaiyyətə açıq müqayisə edilə bilən aktivlər haqqında məlumatdan istifadə edilib.</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33</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3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1520" behindDoc="1" locked="0" layoutInCell="0" allowOverlap="1">
                <wp:simplePos x="0" y="0"/>
                <wp:positionH relativeFrom="page">
                  <wp:posOffset>0</wp:posOffset>
                </wp:positionH>
                <wp:positionV relativeFrom="page">
                  <wp:posOffset>0</wp:posOffset>
                </wp:positionV>
                <wp:extent cx="432435" cy="8424545"/>
                <wp:effectExtent l="0" t="0" r="0" b="0"/>
                <wp:wrapNone/>
                <wp:docPr id="18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6D4B7D" id="Freeform 87" o:spid="_x0000_s1026" style="position:absolute;margin-left:0;margin-top:0;width:34.05pt;height:663.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AvISSy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1"/>
          <w:numId w:val="77"/>
        </w:numPr>
        <w:tabs>
          <w:tab w:val="left" w:pos="1531"/>
        </w:tabs>
        <w:kinsoku w:val="0"/>
        <w:overflowPunct w:val="0"/>
        <w:spacing w:before="77" w:line="250" w:lineRule="auto"/>
        <w:ind w:right="1276"/>
        <w:rPr>
          <w:rFonts w:ascii="Times New Roman" w:hAnsi="Times New Roman"/>
          <w:color w:val="000000"/>
          <w:sz w:val="24"/>
          <w:szCs w:val="24"/>
          <w:lang w:val="az-Latn-AZ"/>
        </w:rPr>
      </w:pPr>
      <w:r w:rsidRPr="009C2EF2">
        <w:rPr>
          <w:rFonts w:ascii="Times New Roman" w:hAnsi="Times New Roman"/>
          <w:color w:val="231F20"/>
          <w:sz w:val="24"/>
          <w:szCs w:val="24"/>
          <w:lang w:val="az-Latn-AZ"/>
        </w:rPr>
        <w:t>Bu metod müqayisə edilə bilən əməliyyatlar metodu ilə oxşarlıq təşkil edir. Lakin, ictimaiyyətə açıq müqayisə edilə bilənlər ilə bağlı bir sıra fərqliliklər olur, onlar aşağıdakılardır: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758"/>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 üzrə qiymətləndirmə göstəriciləri/müqayisə edilə bilən göstəricilər,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411"/>
        <w:rPr>
          <w:rFonts w:ascii="Times New Roman" w:hAnsi="Times New Roman"/>
          <w:color w:val="000000"/>
          <w:sz w:val="24"/>
          <w:szCs w:val="24"/>
          <w:lang w:val="az-Latn-AZ"/>
        </w:rPr>
      </w:pPr>
      <w:r w:rsidRPr="009C2EF2">
        <w:rPr>
          <w:rFonts w:ascii="Times New Roman" w:hAnsi="Times New Roman"/>
          <w:color w:val="231F20"/>
          <w:sz w:val="24"/>
          <w:szCs w:val="24"/>
          <w:lang w:val="az-Latn-AZ"/>
        </w:rPr>
        <w:t>rəsmi dövlət sənədlərində müqayisə edilə bilənlər haqqında ətraflı məlumat və</w:t>
      </w:r>
    </w:p>
    <w:p w:rsidR="00D02DD9" w:rsidRPr="009C2EF2" w:rsidRDefault="003C64E0">
      <w:pPr>
        <w:pStyle w:val="a3"/>
        <w:numPr>
          <w:ilvl w:val="2"/>
          <w:numId w:val="77"/>
        </w:numPr>
        <w:tabs>
          <w:tab w:val="left" w:pos="1815"/>
        </w:tabs>
        <w:kinsoku w:val="0"/>
        <w:overflowPunct w:val="0"/>
        <w:spacing w:line="250" w:lineRule="auto"/>
        <w:ind w:left="1814" w:right="1913"/>
        <w:rPr>
          <w:rFonts w:ascii="Times New Roman" w:hAnsi="Times New Roman"/>
          <w:color w:val="000000"/>
          <w:sz w:val="24"/>
          <w:szCs w:val="24"/>
          <w:lang w:val="az-Latn-AZ"/>
        </w:rPr>
      </w:pPr>
      <w:r w:rsidRPr="009C2EF2">
        <w:rPr>
          <w:rFonts w:ascii="Times New Roman" w:hAnsi="Times New Roman"/>
          <w:color w:val="231F20"/>
          <w:sz w:val="24"/>
          <w:szCs w:val="24"/>
          <w:lang w:val="az-Latn-AZ"/>
        </w:rPr>
        <w:t>mühasibat uçotu standartları əsasında hazırlanan və dövlət sənədlərində saxlanılan məlumat.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77"/>
        </w:numPr>
        <w:tabs>
          <w:tab w:val="left" w:pos="1531"/>
        </w:tabs>
        <w:kinsoku w:val="0"/>
        <w:overflowPunct w:val="0"/>
        <w:spacing w:line="250" w:lineRule="auto"/>
        <w:ind w:right="170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2736" behindDoc="0" locked="0" layoutInCell="0" allowOverlap="1">
                <wp:simplePos x="0" y="0"/>
                <wp:positionH relativeFrom="page">
                  <wp:posOffset>151130</wp:posOffset>
                </wp:positionH>
                <wp:positionV relativeFrom="paragraph">
                  <wp:posOffset>26035</wp:posOffset>
                </wp:positionV>
                <wp:extent cx="152400" cy="4004945"/>
                <wp:effectExtent l="0" t="0" r="0" b="0"/>
                <wp:wrapNone/>
                <wp:docPr id="1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left:0;text-align:left;margin-left:11.9pt;margin-top:2.05pt;width:12pt;height:315.3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pdrwIAALc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Bu metoddan düzgün müqayisənin aparılması üçün yalnız qiymətləndirilən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ictimaiyyətə açıq müqayisə edilə bilənlərə kifayət qədər oxşar olduğu təqdirdə is</w:t>
      </w:r>
      <w:r w:rsidR="000B31C1" w:rsidRPr="009C2EF2">
        <w:rPr>
          <w:rFonts w:ascii="Times New Roman" w:hAnsi="Times New Roman"/>
          <w:color w:val="231F20"/>
          <w:sz w:val="24"/>
          <w:szCs w:val="24"/>
          <w:lang w:val="az-Latn-AZ"/>
        </w:rPr>
        <w:t>t</w:t>
      </w:r>
      <w:r w:rsidR="003C64E0" w:rsidRPr="009C2EF2">
        <w:rPr>
          <w:rFonts w:ascii="Times New Roman" w:hAnsi="Times New Roman"/>
          <w:color w:val="231F20"/>
          <w:sz w:val="24"/>
          <w:szCs w:val="24"/>
          <w:lang w:val="az-Latn-AZ"/>
        </w:rPr>
        <w:t xml:space="preserve">ifadə </w:t>
      </w:r>
      <w:r w:rsidR="003C64E0" w:rsidRPr="009C2EF2">
        <w:rPr>
          <w:rFonts w:ascii="Times New Roman" w:hAnsi="Times New Roman"/>
          <w:i/>
          <w:color w:val="231F20"/>
          <w:spacing w:val="1"/>
          <w:sz w:val="24"/>
          <w:szCs w:val="24"/>
          <w:lang w:val="az-Latn-AZ"/>
        </w:rPr>
        <w:t>olunmalıdır</w:t>
      </w:r>
      <w:r w:rsidR="003C64E0"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Ictimaiyyətə açıq müqayisəli metodunun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müvafiq bazarda</w:t>
      </w:r>
    </w:p>
    <w:p w:rsidR="00D02DD9" w:rsidRPr="009C2EF2" w:rsidRDefault="003C64E0">
      <w:pPr>
        <w:pStyle w:val="a3"/>
        <w:kinsoku w:val="0"/>
        <w:overflowPunct w:val="0"/>
        <w:spacing w:before="9"/>
        <w:ind w:left="1814"/>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tərəfindən istifadə olunan qiymətləndirmə göstəricilərinin/müqayisə oluna bilən göstəricilərin müəyyənləşdirilməsi,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ictimaiyyətə açıq müqayisə edilə bilənlərin müəyyənləşdirilməsi və həmin əməliyyatlar üzrə əsas qiymətləndirmə göstəricilərinin hesablanması,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ictimaiyyətə açıq müqayisə edilə bilənlərlə qiymətləndirilən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2"/>
          <w:sz w:val="24"/>
          <w:szCs w:val="24"/>
          <w:lang w:val="az-Latn-AZ"/>
        </w:rPr>
        <w:t>arasında kəmiyyət və keyfiyyət oxşarlıq və fərqliliklərinin müqayisəli təhlilinin aparılması,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1"/>
          <w:sz w:val="24"/>
          <w:szCs w:val="24"/>
          <w:lang w:val="az-Latn-AZ"/>
        </w:rPr>
        <w:t>ictimaiyyətə açıq müqayisə edilə bilənlər arasındakı fə</w:t>
      </w:r>
      <w:r w:rsidR="000B31C1" w:rsidRPr="009C2EF2">
        <w:rPr>
          <w:rFonts w:ascii="Times New Roman" w:hAnsi="Times New Roman"/>
          <w:color w:val="231F20"/>
          <w:spacing w:val="-1"/>
          <w:sz w:val="24"/>
          <w:szCs w:val="24"/>
          <w:lang w:val="az-Latn-AZ"/>
        </w:rPr>
        <w:t>r</w:t>
      </w:r>
      <w:r w:rsidRPr="009C2EF2">
        <w:rPr>
          <w:rFonts w:ascii="Times New Roman" w:hAnsi="Times New Roman"/>
          <w:color w:val="231F20"/>
          <w:spacing w:val="-1"/>
          <w:sz w:val="24"/>
          <w:szCs w:val="24"/>
          <w:lang w:val="az-Latn-AZ"/>
        </w:rPr>
        <w:t>qliliklərin göstərilməsi məqsədi ilə qiymətləndirmə göstəriciləri üzərində zəruri dəyişikliklərin edilməsi,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0B31C1">
      <w:pPr>
        <w:pStyle w:val="a3"/>
        <w:numPr>
          <w:ilvl w:val="2"/>
          <w:numId w:val="77"/>
        </w:numPr>
        <w:tabs>
          <w:tab w:val="left" w:pos="1815"/>
        </w:tabs>
        <w:kinsoku w:val="0"/>
        <w:overflowPunct w:val="0"/>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qiymətləndirilən </w:t>
      </w:r>
      <w:r w:rsidRPr="009C2EF2">
        <w:rPr>
          <w:rFonts w:ascii="Times New Roman" w:hAnsi="Times New Roman"/>
          <w:i/>
          <w:color w:val="231F20"/>
          <w:spacing w:val="-1"/>
          <w:sz w:val="24"/>
          <w:szCs w:val="24"/>
          <w:lang w:val="az-Latn-AZ"/>
        </w:rPr>
        <w:t xml:space="preserve">aktivlərə </w:t>
      </w:r>
      <w:r w:rsidRPr="009C2EF2">
        <w:rPr>
          <w:rFonts w:ascii="Times New Roman" w:hAnsi="Times New Roman"/>
          <w:color w:val="231F20"/>
          <w:sz w:val="24"/>
          <w:szCs w:val="24"/>
          <w:lang w:val="az-Latn-AZ"/>
        </w:rPr>
        <w:t>üzərində dəyişikliklər aparılmış qiymətləndirmə göstəricilərinin tətbiq edilməsi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çoxsaylı qiymətləndirmə göstəricilərindən istifadə olunduğu təqdirdə dəyər göstəricilərinin </w:t>
      </w:r>
      <w:r w:rsidRPr="009C2EF2">
        <w:rPr>
          <w:rFonts w:ascii="Times New Roman" w:hAnsi="Times New Roman"/>
          <w:i/>
          <w:color w:val="231F20"/>
          <w:sz w:val="24"/>
          <w:szCs w:val="24"/>
          <w:lang w:val="az-Latn-AZ"/>
        </w:rPr>
        <w:t>müəyyənləşdirilməsi</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77"/>
        </w:numPr>
        <w:tabs>
          <w:tab w:val="left" w:pos="1531"/>
        </w:tabs>
        <w:kinsoku w:val="0"/>
        <w:overflowPunct w:val="0"/>
        <w:spacing w:line="250" w:lineRule="auto"/>
        <w:ind w:right="152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aşağıdakı kontekst əsasında ictimaiyyətə açıq müqayisə edilə bilənlərı seçməlidir: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0B31C1">
      <w:pPr>
        <w:pStyle w:val="a3"/>
        <w:numPr>
          <w:ilvl w:val="2"/>
          <w:numId w:val="77"/>
        </w:numPr>
        <w:tabs>
          <w:tab w:val="left" w:pos="1815"/>
        </w:tabs>
        <w:kinsoku w:val="0"/>
        <w:overflowPunct w:val="0"/>
        <w:spacing w:line="250" w:lineRule="auto"/>
        <w:ind w:left="1814" w:right="75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bir deyil bir neçə ictimaiyyətə açıq müqayisə edilə bilənlərin nəzərə alınması,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ictimaiyyətə açıq oxşar müqayisə edilə bilənlərin (məsələn, oxşar bazar seqmentinə, coğrafi əraziyə, gəlirin və/və ya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kəmiyyətinə, artım dərəcəsinə, rentabelliyinə, leverecinə, likvidliyinə və müxtəlifliyinə </w:t>
      </w:r>
      <w:r w:rsidR="000B31C1" w:rsidRPr="009C2EF2">
        <w:rPr>
          <w:rFonts w:ascii="Times New Roman" w:hAnsi="Times New Roman"/>
          <w:color w:val="231F20"/>
          <w:sz w:val="24"/>
          <w:szCs w:val="24"/>
          <w:lang w:val="az-Latn-AZ"/>
        </w:rPr>
        <w:t>görə</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dəyişikliklərin tələb olunduğu müqayisə edilə bilənlərin göstəricisindən daha yaxşı dəyər göstəricisini təmin etməsi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bazarda aktiv olan qiymətli kağızların passiv qiymətli kağızlardan daha etibarlı göstərici təmin etməsi.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ictimaiyyətə açıq müqayisə edilə bilənlər ilə qiymətləndirilən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arasındakı əhəmiyyətli fərqlilikləri təhlil etməli və zəruri düzəlişlər etməlidir. Düzəlişlərin ediməsini tələb edən əsas fə</w:t>
      </w:r>
      <w:r w:rsidR="000B31C1" w:rsidRPr="009C2EF2">
        <w:rPr>
          <w:rFonts w:ascii="Times New Roman" w:hAnsi="Times New Roman"/>
          <w:color w:val="231F20"/>
          <w:sz w:val="24"/>
          <w:szCs w:val="24"/>
          <w:lang w:val="az-Latn-AZ"/>
        </w:rPr>
        <w:t>r</w:t>
      </w:r>
      <w:r w:rsidRPr="009C2EF2">
        <w:rPr>
          <w:rFonts w:ascii="Times New Roman" w:hAnsi="Times New Roman"/>
          <w:color w:val="231F20"/>
          <w:sz w:val="24"/>
          <w:szCs w:val="24"/>
          <w:lang w:val="az-Latn-AZ"/>
        </w:rPr>
        <w:t xml:space="preserve">qliliklərə aşağıdakılar (lakin bunlarla məhdudlaşmır) </w:t>
      </w:r>
      <w:r w:rsidRPr="009C2EF2">
        <w:rPr>
          <w:rFonts w:ascii="Times New Roman" w:hAnsi="Times New Roman"/>
          <w:i/>
          <w:color w:val="231F20"/>
          <w:spacing w:val="-2"/>
          <w:sz w:val="24"/>
          <w:szCs w:val="24"/>
          <w:lang w:val="az-Latn-AZ"/>
        </w:rPr>
        <w:t>daxildir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34</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4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2544" behindDoc="1" locked="0" layoutInCell="0" allowOverlap="1">
                <wp:simplePos x="0" y="0"/>
                <wp:positionH relativeFrom="page">
                  <wp:posOffset>5183505</wp:posOffset>
                </wp:positionH>
                <wp:positionV relativeFrom="page">
                  <wp:posOffset>0</wp:posOffset>
                </wp:positionV>
                <wp:extent cx="431800" cy="8423910"/>
                <wp:effectExtent l="0" t="0" r="0" b="0"/>
                <wp:wrapNone/>
                <wp:docPr id="18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F23CDB" id="Freeform 89" o:spid="_x0000_s1026" style="position:absolute;margin-left:408.15pt;margin-top:0;width:34pt;height:663.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nbjfjX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0"/>
          <w:numId w:val="76"/>
        </w:numPr>
        <w:tabs>
          <w:tab w:val="left" w:pos="965"/>
        </w:tabs>
        <w:kinsoku w:val="0"/>
        <w:overflowPunct w:val="0"/>
        <w:spacing w:before="77"/>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əhəmiyyətli xüsusiyyətlər (müddət, ölçü, spesifikasiyalar və s.),</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uyğun güzəştlər və mükafatlar (30.17 bəndinə baxın),</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spacing w:line="250" w:lineRule="auto"/>
        <w:ind w:left="964" w:right="258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və müqayisə edilə bilən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ilə bağlı məhdudiyyətlər,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spacing w:line="250" w:lineRule="auto"/>
        <w:ind w:left="680" w:right="1690" w:firstLine="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törəmə şirkətin coğrafi mövqeyi və iqtisadi və tənzimləyici mühit,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gəlirliliyi və ya gəlir yaratma qabiliyyəti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əvvəlki artım və gözlənilən artım,</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pPr>
        <w:pStyle w:val="a3"/>
        <w:numPr>
          <w:ilvl w:val="0"/>
          <w:numId w:val="76"/>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3760" behindDoc="0" locked="0" layoutInCell="0" allowOverlap="1">
                <wp:simplePos x="0" y="0"/>
                <wp:positionH relativeFrom="page">
                  <wp:posOffset>5276215</wp:posOffset>
                </wp:positionH>
                <wp:positionV relativeFrom="paragraph">
                  <wp:posOffset>-50800</wp:posOffset>
                </wp:positionV>
                <wp:extent cx="152400" cy="4004945"/>
                <wp:effectExtent l="0" t="0" r="0" b="0"/>
                <wp:wrapNone/>
                <wp:docPr id="17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4" type="#_x0000_t202" style="position:absolute;left:0;text-align:left;margin-left:415.45pt;margin-top:-4pt;width:12pt;height:315.3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qiymətləndirilən və müqayisə edilə bilən </w:t>
      </w:r>
      <w:r w:rsidR="003C64E0" w:rsidRPr="009C2EF2">
        <w:rPr>
          <w:rFonts w:ascii="Times New Roman" w:hAnsi="Times New Roman"/>
          <w:i/>
          <w:color w:val="231F20"/>
          <w:spacing w:val="-1"/>
          <w:sz w:val="24"/>
          <w:szCs w:val="24"/>
          <w:lang w:val="az-Latn-AZ"/>
        </w:rPr>
        <w:t xml:space="preserve">aktivlərin </w:t>
      </w:r>
      <w:r w:rsidR="003C64E0" w:rsidRPr="009C2EF2">
        <w:rPr>
          <w:rFonts w:ascii="Times New Roman" w:hAnsi="Times New Roman"/>
          <w:color w:val="231F20"/>
          <w:spacing w:val="1"/>
          <w:sz w:val="24"/>
          <w:szCs w:val="24"/>
          <w:lang w:val="az-Latn-AZ"/>
        </w:rPr>
        <w:t>rəqabət qabiliyyəti və nəzarət xüsusiyyətləri ilə bağlı fərqliliklər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7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mülkiyyətin növü.</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Digər Bazar Yanaşmaları ilə bağlı Mü</w:t>
      </w:r>
      <w:r w:rsidR="000B31C1" w:rsidRPr="009C2EF2">
        <w:rPr>
          <w:rFonts w:ascii="Times New Roman" w:hAnsi="Times New Roman"/>
          <w:color w:val="231F20"/>
          <w:spacing w:val="1"/>
          <w:sz w:val="24"/>
          <w:szCs w:val="24"/>
          <w:lang w:val="az-Latn-AZ"/>
        </w:rPr>
        <w:t>l</w:t>
      </w:r>
      <w:r w:rsidRPr="009C2EF2">
        <w:rPr>
          <w:rFonts w:ascii="Times New Roman" w:hAnsi="Times New Roman"/>
          <w:color w:val="231F20"/>
          <w:spacing w:val="1"/>
          <w:sz w:val="24"/>
          <w:szCs w:val="24"/>
          <w:lang w:val="az-Latn-AZ"/>
        </w:rPr>
        <w:t>ahizələr</w:t>
      </w:r>
    </w:p>
    <w:p w:rsidR="00D02DD9" w:rsidRPr="009C2EF2" w:rsidRDefault="003C64E0">
      <w:pPr>
        <w:pStyle w:val="a3"/>
        <w:numPr>
          <w:ilvl w:val="1"/>
          <w:numId w:val="77"/>
        </w:numPr>
        <w:tabs>
          <w:tab w:val="left" w:pos="681"/>
        </w:tabs>
        <w:kinsoku w:val="0"/>
        <w:overflowPunct w:val="0"/>
        <w:spacing w:before="122"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Aşağıdakı paraqraflarda bazar yanaşması qiymətləndirməsinin bir hissəsi </w:t>
      </w:r>
      <w:r w:rsidRPr="009C2EF2">
        <w:rPr>
          <w:rFonts w:ascii="Times New Roman" w:hAnsi="Times New Roman"/>
          <w:i/>
          <w:color w:val="231F20"/>
          <w:spacing w:val="-1"/>
          <w:sz w:val="24"/>
          <w:szCs w:val="24"/>
          <w:lang w:val="az-Latn-AZ"/>
        </w:rPr>
        <w:t xml:space="preserve">olan </w:t>
      </w:r>
      <w:r w:rsidRPr="009C2EF2">
        <w:rPr>
          <w:rFonts w:ascii="Times New Roman" w:hAnsi="Times New Roman"/>
          <w:color w:val="231F20"/>
          <w:sz w:val="24"/>
          <w:szCs w:val="24"/>
          <w:lang w:val="az-Latn-AZ"/>
        </w:rPr>
        <w:t>xüsusi mülahizələrin natamam siyahısından bəhs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Təcrübi və ya "Praktik" qiymətləndirmə standartları bəzən bazar yanaşması kimi düşünülür. Lakin, bu qaydaların tətbiqi nəticəsində əldə edilmiş dəyər göstəriciləri alıcı və satıcının </w:t>
      </w:r>
      <w:r w:rsidRPr="009C2EF2">
        <w:rPr>
          <w:rFonts w:ascii="Times New Roman" w:hAnsi="Times New Roman"/>
          <w:i/>
          <w:color w:val="231F20"/>
          <w:sz w:val="24"/>
          <w:szCs w:val="24"/>
          <w:lang w:val="az-Latn-AZ"/>
        </w:rPr>
        <w:t xml:space="preserve">etibarını </w:t>
      </w:r>
      <w:r w:rsidRPr="009C2EF2">
        <w:rPr>
          <w:rFonts w:ascii="Times New Roman" w:hAnsi="Times New Roman"/>
          <w:color w:val="231F20"/>
          <w:spacing w:val="1"/>
          <w:sz w:val="24"/>
          <w:szCs w:val="24"/>
          <w:lang w:val="az-Latn-AZ"/>
        </w:rPr>
        <w:t xml:space="preserve">qazanmayanadək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pacing w:val="1"/>
          <w:sz w:val="24"/>
          <w:szCs w:val="24"/>
          <w:lang w:val="az-Latn-AZ"/>
        </w:rPr>
        <w:t xml:space="preserve">hesab </w:t>
      </w:r>
      <w:r w:rsidRPr="009C2EF2">
        <w:rPr>
          <w:rFonts w:ascii="Times New Roman" w:hAnsi="Times New Roman"/>
          <w:i/>
          <w:color w:val="231F20"/>
          <w:spacing w:val="1"/>
          <w:sz w:val="24"/>
          <w:szCs w:val="24"/>
          <w:lang w:val="az-Latn-AZ"/>
        </w:rPr>
        <w:t>olunmamalıdır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7"/>
        </w:numPr>
        <w:tabs>
          <w:tab w:val="left" w:pos="681"/>
        </w:tabs>
        <w:kinsoku w:val="0"/>
        <w:overflowPunct w:val="0"/>
        <w:spacing w:line="250" w:lineRule="auto"/>
        <w:ind w:left="680"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yanaşmasında tənzimləmələrin edilməsinə 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və rəhbər əməliyyatlar və ya ictimaiyyətə açıq qiymətli kağızlar arasındakı fərqliliklər əsas verir. Bazar yanaşmasında ən çox müşahidə olunan tənzimləmələr güzəştlər və mükafatlar hesab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77"/>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Rəqabət qabiliyyətinin aşağı olmasına görə güzəştlər (DLOM) müqayisə oluna bilənlərin qiymətləndirilən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pacing w:val="1"/>
          <w:sz w:val="24"/>
          <w:szCs w:val="24"/>
          <w:lang w:val="az-Latn-AZ"/>
        </w:rPr>
        <w:t xml:space="preserve">müqayisədə daha üstün rəqabət qabiliyyətinə malik olduğu zaman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pacing w:val="1"/>
          <w:sz w:val="24"/>
          <w:szCs w:val="24"/>
          <w:lang w:val="az-Latn-AZ"/>
        </w:rPr>
        <w:t xml:space="preserve">. DLOM oxşar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 xml:space="preserve">müqayisəsi zamanı asanlıqla satıla bilən </w:t>
      </w:r>
      <w:r w:rsidRPr="009C2EF2">
        <w:rPr>
          <w:rFonts w:ascii="Times New Roman" w:hAnsi="Times New Roman"/>
          <w:i/>
          <w:color w:val="231F20"/>
          <w:sz w:val="24"/>
          <w:szCs w:val="24"/>
          <w:lang w:val="az-Latn-AZ"/>
        </w:rPr>
        <w:t>aktivin</w:t>
      </w:r>
      <w:r w:rsidR="000B31C1" w:rsidRPr="009C2EF2">
        <w:rPr>
          <w:rFonts w:ascii="Times New Roman" w:hAnsi="Times New Roman"/>
          <w:i/>
          <w:color w:val="231F20"/>
          <w:sz w:val="24"/>
          <w:szCs w:val="24"/>
          <w:lang w:val="az-Latn-AZ"/>
        </w:rPr>
        <w:t xml:space="preserve"> </w:t>
      </w:r>
      <w:r w:rsidRPr="009C2EF2">
        <w:rPr>
          <w:rFonts w:ascii="Times New Roman" w:hAnsi="Times New Roman"/>
          <w:color w:val="231F20"/>
          <w:sz w:val="24"/>
          <w:szCs w:val="24"/>
          <w:lang w:val="az-Latn-AZ"/>
        </w:rPr>
        <w:t xml:space="preserve">üzərində müəyyən satış qadağaları </w:t>
      </w:r>
      <w:r w:rsidRPr="009C2EF2">
        <w:rPr>
          <w:rFonts w:ascii="Times New Roman" w:hAnsi="Times New Roman"/>
          <w:i/>
          <w:color w:val="231F20"/>
          <w:spacing w:val="-1"/>
          <w:sz w:val="24"/>
          <w:szCs w:val="24"/>
          <w:lang w:val="az-Latn-AZ"/>
        </w:rPr>
        <w:t xml:space="preserve">olan </w:t>
      </w:r>
      <w:r w:rsidRPr="009C2EF2">
        <w:rPr>
          <w:rFonts w:ascii="Times New Roman" w:hAnsi="Times New Roman"/>
          <w:color w:val="231F20"/>
          <w:sz w:val="24"/>
          <w:szCs w:val="24"/>
          <w:lang w:val="az-Latn-AZ"/>
        </w:rPr>
        <w:t xml:space="preserve">və ya uzun müddət satışda olan </w:t>
      </w:r>
      <w:r w:rsidRPr="009C2EF2">
        <w:rPr>
          <w:rFonts w:ascii="Times New Roman" w:hAnsi="Times New Roman"/>
          <w:i/>
          <w:color w:val="231F20"/>
          <w:sz w:val="24"/>
          <w:szCs w:val="24"/>
          <w:lang w:val="az-Latn-AZ"/>
        </w:rPr>
        <w:t xml:space="preserve">aktivlərdən </w:t>
      </w:r>
      <w:r w:rsidRPr="009C2EF2">
        <w:rPr>
          <w:rFonts w:ascii="Times New Roman" w:hAnsi="Times New Roman"/>
          <w:color w:val="231F20"/>
          <w:sz w:val="24"/>
          <w:szCs w:val="24"/>
          <w:lang w:val="az-Latn-AZ"/>
        </w:rPr>
        <w:t>daha yüksək dəyərə malik olduğunu ifadə edir. Məsələn, özəl şirkət səhmləri</w:t>
      </w:r>
      <w:r w:rsidR="000B31C1" w:rsidRPr="009C2EF2">
        <w:rPr>
          <w:rFonts w:ascii="Times New Roman" w:hAnsi="Times New Roman"/>
          <w:color w:val="231F20"/>
          <w:sz w:val="24"/>
          <w:szCs w:val="24"/>
          <w:lang w:val="az-Latn-AZ"/>
        </w:rPr>
        <w:t xml:space="preserve"> </w:t>
      </w:r>
      <w:r w:rsidRPr="009C2EF2">
        <w:rPr>
          <w:rFonts w:ascii="Times New Roman" w:hAnsi="Times New Roman"/>
          <w:color w:val="231F20"/>
          <w:spacing w:val="1"/>
          <w:sz w:val="24"/>
          <w:szCs w:val="24"/>
          <w:lang w:val="az-Latn-AZ"/>
        </w:rPr>
        <w:t xml:space="preserve">potensial müştəri axına nail olunması və əməliyyatın tamamlanması üçün </w:t>
      </w:r>
      <w:r w:rsidRPr="009C2EF2">
        <w:rPr>
          <w:rFonts w:ascii="Times New Roman" w:hAnsi="Times New Roman"/>
          <w:i/>
          <w:color w:val="231F20"/>
          <w:sz w:val="24"/>
          <w:szCs w:val="24"/>
          <w:lang w:val="az-Latn-AZ"/>
        </w:rPr>
        <w:t xml:space="preserve">müəyyən </w:t>
      </w:r>
      <w:r w:rsidRPr="009C2EF2">
        <w:rPr>
          <w:rFonts w:ascii="Times New Roman" w:hAnsi="Times New Roman"/>
          <w:color w:val="231F20"/>
          <w:spacing w:val="1"/>
          <w:sz w:val="24"/>
          <w:szCs w:val="24"/>
          <w:lang w:val="az-Latn-AZ"/>
        </w:rPr>
        <w:t xml:space="preserve">vaxtın tələb olunduğu halda ictimaiyyətə açıq qiymətli kağızların alqı-satqısı qısa zamanda həyata keçirilə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Əksər dəyər bazası qiymətləndirilən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pacing w:val="1"/>
          <w:sz w:val="24"/>
          <w:szCs w:val="24"/>
          <w:lang w:val="az-Latn-AZ"/>
        </w:rPr>
        <w:t xml:space="preserve">xas rəqabət qabiliyyətinin məhdudlaşdırılmasına icazə verdiyi halda, sahibkara xas rəqabət qabiliyyətinin məhdudlaşdırılmasına qadağa qoyur.  DLOM müvafiq metoddan istifadə etməklə təyin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lakin onlar, əsasən, opsiya qiymətləndirilməsi modellərindən, şirkətin ictimaiyyətə açıq səhmləri ilə məhdudlaşdırılmış səhmlərinin dəyərinin müqayisəsi aparılmış araşdırmalardan və ya səhmlərin ilkin açıq yerləşdirilməsindən əvvəl və sonra şirkət səhmlərinin dəyərinin müqayisəsi aparılmış araşdırmalardan istifadə etməklə hesablanır.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7"/>
        </w:numPr>
        <w:tabs>
          <w:tab w:val="left" w:pos="965"/>
        </w:tabs>
        <w:kinsoku w:val="0"/>
        <w:overflowPunct w:val="0"/>
        <w:spacing w:line="250" w:lineRule="auto"/>
        <w:ind w:left="964" w:right="133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Nəzarətə Görə Mükafat (</w:t>
      </w:r>
      <w:r w:rsidRPr="009C2EF2">
        <w:rPr>
          <w:rFonts w:ascii="Times New Roman" w:hAnsi="Times New Roman"/>
          <w:i/>
          <w:color w:val="231F20"/>
          <w:sz w:val="24"/>
          <w:szCs w:val="24"/>
          <w:lang w:val="az-Latn-AZ"/>
        </w:rPr>
        <w:t>Bazar İştirakçısının Əldəetmə Dəyəri</w:t>
      </w:r>
      <w:r w:rsidRPr="009C2EF2">
        <w:rPr>
          <w:rFonts w:ascii="Times New Roman" w:hAnsi="Times New Roman"/>
          <w:color w:val="231F20"/>
          <w:spacing w:val="1"/>
          <w:sz w:val="24"/>
          <w:szCs w:val="24"/>
          <w:lang w:val="az-Latn-AZ"/>
        </w:rPr>
        <w:t xml:space="preserve"> və ya </w:t>
      </w:r>
      <w:r w:rsidRPr="009C2EF2">
        <w:rPr>
          <w:rFonts w:ascii="Times New Roman" w:hAnsi="Times New Roman"/>
          <w:i/>
          <w:color w:val="231F20"/>
          <w:spacing w:val="-1"/>
          <w:sz w:val="24"/>
          <w:szCs w:val="24"/>
          <w:lang w:val="az-Latn-AZ"/>
        </w:rPr>
        <w:t xml:space="preserve">MPAPs </w:t>
      </w:r>
      <w:r w:rsidRPr="009C2EF2">
        <w:rPr>
          <w:rFonts w:ascii="Times New Roman" w:hAnsi="Times New Roman"/>
          <w:color w:val="231F20"/>
          <w:spacing w:val="1"/>
          <w:sz w:val="24"/>
          <w:szCs w:val="24"/>
          <w:lang w:val="az-Latn-AZ"/>
        </w:rPr>
        <w:t xml:space="preserve">kimi də istinad edilir) və Nəzarətin Azlığına Görə Güzəşt (DLOC) tətbiq edilən nəzarətin nəticəsi kimi ediləcək dəyişikliklərlə və qərarların verilməsi ilə bağlı müqayisə edilə bilənlərlə qiymətləndirilən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arasındakı fərqlilikləri göstərmək üçün tətbiq olunur. Ümumilikdə</w:t>
      </w: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35</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4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3568" behindDoc="1" locked="0" layoutInCell="0" allowOverlap="1">
                <wp:simplePos x="0" y="0"/>
                <wp:positionH relativeFrom="page">
                  <wp:posOffset>0</wp:posOffset>
                </wp:positionH>
                <wp:positionV relativeFrom="page">
                  <wp:posOffset>0</wp:posOffset>
                </wp:positionV>
                <wp:extent cx="432435" cy="8424545"/>
                <wp:effectExtent l="0" t="0" r="0" b="0"/>
                <wp:wrapNone/>
                <wp:docPr id="17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AC4351" id="Freeform 91" o:spid="_x0000_s1026" style="position:absolute;margin-left:0;margin-top:0;width:34.05pt;height:663.3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BHqwPO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75026C">
      <w:pPr>
        <w:pStyle w:val="a3"/>
        <w:kinsoku w:val="0"/>
        <w:overflowPunct w:val="0"/>
        <w:spacing w:before="77" w:line="250" w:lineRule="auto"/>
        <w:ind w:left="1814" w:right="1181"/>
        <w:rPr>
          <w:rFonts w:ascii="Times New Roman" w:hAnsi="Times New Roman"/>
          <w:color w:val="000000"/>
          <w:sz w:val="24"/>
          <w:szCs w:val="24"/>
          <w:lang w:val="az-Latn-AZ"/>
        </w:rPr>
      </w:pPr>
      <w:r w:rsidRPr="009C2EF2">
        <w:rPr>
          <w:rFonts w:ascii="Times New Roman" w:hAnsi="Times New Roman"/>
          <w:i/>
          <w:noProof/>
          <w:sz w:val="24"/>
          <w:szCs w:val="24"/>
          <w:lang w:val="ru-RU" w:eastAsia="ru-RU"/>
        </w:rPr>
        <mc:AlternateContent>
          <mc:Choice Requires="wps">
            <w:drawing>
              <wp:anchor distT="0" distB="0" distL="114300" distR="114300" simplePos="0" relativeHeight="251574784" behindDoc="0" locked="0" layoutInCell="0" allowOverlap="1">
                <wp:simplePos x="0" y="0"/>
                <wp:positionH relativeFrom="page">
                  <wp:posOffset>151130</wp:posOffset>
                </wp:positionH>
                <wp:positionV relativeFrom="paragraph">
                  <wp:posOffset>1741805</wp:posOffset>
                </wp:positionV>
                <wp:extent cx="152400" cy="4004945"/>
                <wp:effectExtent l="0" t="0" r="0" b="0"/>
                <wp:wrapNone/>
                <wp:docPr id="17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left:0;text-align:left;margin-left:11.9pt;margin-top:137.15pt;width:12pt;height:315.3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n3rwIAALc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z w:val="24"/>
          <w:szCs w:val="24"/>
          <w:lang w:val="az-Latn-AZ"/>
        </w:rPr>
        <w:t xml:space="preserve">iştirakçılar </w:t>
      </w:r>
      <w:r w:rsidR="003C64E0" w:rsidRPr="009C2EF2">
        <w:rPr>
          <w:rFonts w:ascii="Times New Roman" w:hAnsi="Times New Roman"/>
          <w:color w:val="231F20"/>
          <w:sz w:val="24"/>
          <w:szCs w:val="24"/>
          <w:lang w:val="az-Latn-AZ"/>
        </w:rPr>
        <w:t xml:space="preserve">qiymətləndirilən </w:t>
      </w:r>
      <w:r w:rsidR="003C64E0" w:rsidRPr="009C2EF2">
        <w:rPr>
          <w:rFonts w:ascii="Times New Roman" w:hAnsi="Times New Roman"/>
          <w:i/>
          <w:color w:val="231F20"/>
          <w:sz w:val="24"/>
          <w:szCs w:val="24"/>
          <w:lang w:val="az-Latn-AZ"/>
        </w:rPr>
        <w:t xml:space="preserve">aktivə </w:t>
      </w:r>
      <w:r w:rsidR="003C64E0" w:rsidRPr="009C2EF2">
        <w:rPr>
          <w:rFonts w:ascii="Times New Roman" w:hAnsi="Times New Roman"/>
          <w:color w:val="231F20"/>
          <w:sz w:val="24"/>
          <w:szCs w:val="24"/>
          <w:lang w:val="az-Latn-AZ"/>
        </w:rPr>
        <w:t xml:space="preserve">nəzarət etməyə üstünlük verirlər. Lakin </w:t>
      </w:r>
      <w:r w:rsidR="003C64E0" w:rsidRPr="009C2EF2">
        <w:rPr>
          <w:rFonts w:ascii="Times New Roman" w:hAnsi="Times New Roman"/>
          <w:i/>
          <w:color w:val="231F20"/>
          <w:spacing w:val="1"/>
          <w:sz w:val="24"/>
          <w:szCs w:val="24"/>
          <w:lang w:val="az-Latn-AZ"/>
        </w:rPr>
        <w:t xml:space="preserve">iştirakçıların </w:t>
      </w:r>
      <w:r w:rsidR="003C64E0" w:rsidRPr="009C2EF2">
        <w:rPr>
          <w:rFonts w:ascii="Times New Roman" w:hAnsi="Times New Roman"/>
          <w:color w:val="231F20"/>
          <w:sz w:val="24"/>
          <w:szCs w:val="24"/>
          <w:lang w:val="az-Latn-AZ"/>
        </w:rPr>
        <w:t xml:space="preserve">Nəzarətə görə Mükafat üçün və ya DLOC üçün ödəniş etmək istəyi nəzarətin tətbiqinin qiymətləndirilən  </w:t>
      </w:r>
      <w:r w:rsidR="003C64E0" w:rsidRPr="009C2EF2">
        <w:rPr>
          <w:rFonts w:ascii="Times New Roman" w:hAnsi="Times New Roman"/>
          <w:i/>
          <w:color w:val="231F20"/>
          <w:spacing w:val="-1"/>
          <w:sz w:val="24"/>
          <w:szCs w:val="24"/>
          <w:lang w:val="az-Latn-AZ"/>
        </w:rPr>
        <w:t xml:space="preserve">aktivin </w:t>
      </w:r>
      <w:r w:rsidR="003C64E0" w:rsidRPr="009C2EF2">
        <w:rPr>
          <w:rFonts w:ascii="Times New Roman" w:hAnsi="Times New Roman"/>
          <w:color w:val="231F20"/>
          <w:sz w:val="24"/>
          <w:szCs w:val="24"/>
          <w:lang w:val="az-Latn-AZ"/>
        </w:rPr>
        <w:t xml:space="preserve">sahibinin gəlirinə təsir edib-etməməsi ilə bağlı olacaq. Nəzarətə Görə Mükafatlar və DLOC-lər müvafiq metoddan istifadə etməklə təyin edilə </w:t>
      </w:r>
      <w:r w:rsidR="003C64E0" w:rsidRPr="009C2EF2">
        <w:rPr>
          <w:rFonts w:ascii="Times New Roman" w:hAnsi="Times New Roman"/>
          <w:i/>
          <w:color w:val="231F20"/>
          <w:spacing w:val="-1"/>
          <w:sz w:val="24"/>
          <w:szCs w:val="24"/>
          <w:lang w:val="az-Latn-AZ"/>
        </w:rPr>
        <w:t>bilər</w:t>
      </w:r>
      <w:r w:rsidR="003C64E0" w:rsidRPr="009C2EF2">
        <w:rPr>
          <w:rFonts w:ascii="Times New Roman" w:hAnsi="Times New Roman"/>
          <w:color w:val="231F20"/>
          <w:sz w:val="24"/>
          <w:szCs w:val="24"/>
          <w:lang w:val="az-Latn-AZ"/>
        </w:rPr>
        <w:t xml:space="preserve">, lakin onlar, əsasən, nəzarət ilə bağlı riskin azalmasını və ya pul axınının artmasını təhlil etməklə və ya ictimaiyyətə açıq qiymətli kağızlar üzrə nəzarət paketi üçün ödənilmiş qiymətləri əməliyyatdan öncəki qiymətlə müqayisə etməklə hesablanır. Nəzarətə Görə Mükafatın və DLOC-un nəzərə </w:t>
      </w:r>
      <w:r w:rsidR="003C64E0" w:rsidRPr="009C2EF2">
        <w:rPr>
          <w:rFonts w:ascii="Times New Roman" w:hAnsi="Times New Roman"/>
          <w:i/>
          <w:color w:val="231F20"/>
          <w:spacing w:val="1"/>
          <w:sz w:val="24"/>
          <w:szCs w:val="24"/>
          <w:lang w:val="az-Latn-AZ"/>
        </w:rPr>
        <w:t xml:space="preserve">alınmalı </w:t>
      </w:r>
      <w:r w:rsidR="003C64E0" w:rsidRPr="009C2EF2">
        <w:rPr>
          <w:rFonts w:ascii="Times New Roman" w:hAnsi="Times New Roman"/>
          <w:color w:val="231F20"/>
          <w:sz w:val="24"/>
          <w:szCs w:val="24"/>
          <w:lang w:val="az-Latn-AZ"/>
        </w:rPr>
        <w:t>olduğu hallara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77"/>
        </w:numPr>
        <w:tabs>
          <w:tab w:val="left" w:pos="2098"/>
        </w:tabs>
        <w:kinsoku w:val="0"/>
        <w:overflowPunct w:val="0"/>
        <w:spacing w:line="250" w:lineRule="auto"/>
        <w:ind w:left="2097" w:right="1170"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dövlət şirkətlərinin səhmlərinin şirkət əməliyyatları ilə bağlı qərar vermək hüququ olmadığı hal (nəzarət çatışmazlığının olduğu hal). Nəzarət paketini əks etdirən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qiymətləndirilməsi üçün rəhbər müqayisəli metoddan istifadə edərkən nəzarətə görə mükafat uyğun hesab edilə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və ya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77"/>
        </w:numPr>
        <w:tabs>
          <w:tab w:val="left" w:pos="2098"/>
        </w:tabs>
        <w:kinsoku w:val="0"/>
        <w:overflowPunct w:val="0"/>
        <w:spacing w:line="250" w:lineRule="auto"/>
        <w:ind w:left="2097" w:right="1235"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rəhbər əməliyyat metodunun rəhbər əməliyyatlarında, adətən, nəzarət paketləri ilə bağlı əməliyyatlar əks olunur. Minoritar payı əks etdirən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qiymətləndirilməsi üçün bu metoddan istifadə edərkən DLOC uyğun hesab edilə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0B31C1">
      <w:pPr>
        <w:pStyle w:val="a3"/>
        <w:numPr>
          <w:ilvl w:val="2"/>
          <w:numId w:val="77"/>
        </w:numPr>
        <w:tabs>
          <w:tab w:val="left" w:pos="1815"/>
        </w:tabs>
        <w:kinsoku w:val="0"/>
        <w:overflowPunct w:val="0"/>
        <w:spacing w:before="9" w:line="250" w:lineRule="auto"/>
        <w:ind w:left="1814"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ictimaiyyətə açıq qiymətli kağızların geniş səhm paketini təqdim etdiyi zaman, yəni sahibkarın səhm paketini bazar qiymətinə mənfi təsir gö</w:t>
      </w:r>
      <w:r w:rsidR="000B31C1" w:rsidRPr="009C2EF2">
        <w:rPr>
          <w:rFonts w:ascii="Times New Roman" w:hAnsi="Times New Roman"/>
          <w:color w:val="231F20"/>
          <w:spacing w:val="1"/>
          <w:sz w:val="24"/>
          <w:szCs w:val="24"/>
          <w:lang w:val="az-Latn-AZ"/>
        </w:rPr>
        <w:t>s</w:t>
      </w:r>
      <w:r w:rsidRPr="009C2EF2">
        <w:rPr>
          <w:rFonts w:ascii="Times New Roman" w:hAnsi="Times New Roman"/>
          <w:color w:val="231F20"/>
          <w:spacing w:val="1"/>
          <w:sz w:val="24"/>
          <w:szCs w:val="24"/>
          <w:lang w:val="az-Latn-AZ"/>
        </w:rPr>
        <w:t xml:space="preserve">tərmədən satması mümkün olmayacağı təqdirdə paket güzəştlər tətbiq edilə bilər. Paket güzəştlər müvafiq metoddan istifadə etməklə təyin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lakin</w:t>
      </w:r>
      <w:r w:rsidR="000B31C1"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onlar əsasən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səhmləri bazar qiymətinə</w:t>
      </w:r>
      <w:r w:rsidR="000B31C1" w:rsidRPr="009C2EF2">
        <w:rPr>
          <w:rFonts w:ascii="Times New Roman" w:hAnsi="Times New Roman"/>
          <w:color w:val="231F20"/>
          <w:sz w:val="24"/>
          <w:szCs w:val="24"/>
          <w:lang w:val="az-Latn-AZ"/>
        </w:rPr>
        <w:t xml:space="preserve"> </w:t>
      </w:r>
      <w:r w:rsidRPr="009C2EF2">
        <w:rPr>
          <w:rFonts w:ascii="Times New Roman" w:hAnsi="Times New Roman"/>
          <w:color w:val="231F20"/>
          <w:spacing w:val="1"/>
          <w:sz w:val="24"/>
          <w:szCs w:val="24"/>
          <w:lang w:val="az-Latn-AZ"/>
        </w:rPr>
        <w:t>mənfi təsir göstərmədən sata biləcəyi (yəni, qiymətli kağızların satışı üzrə günlük ticarət həcminin nisbətən aşağı düşməsi) müddətin</w:t>
      </w:r>
      <w:r w:rsidR="000B31C1"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nəzərə alındığı modeldən istifadə etməklə müəyyənləşdirilir.  Müəyyən dəyər bazalarında, xüsusilə də, </w:t>
      </w:r>
      <w:r w:rsidRPr="009C2EF2">
        <w:rPr>
          <w:rFonts w:ascii="Times New Roman" w:hAnsi="Times New Roman"/>
          <w:color w:val="231F20"/>
          <w:sz w:val="24"/>
          <w:szCs w:val="24"/>
          <w:lang w:val="az-Latn-AZ"/>
        </w:rPr>
        <w:lastRenderedPageBreak/>
        <w:t xml:space="preserve">maliyyə </w:t>
      </w:r>
      <w:r w:rsidRPr="009C2EF2">
        <w:rPr>
          <w:rFonts w:ascii="Times New Roman" w:hAnsi="Times New Roman"/>
          <w:i/>
          <w:color w:val="231F20"/>
          <w:sz w:val="24"/>
          <w:szCs w:val="24"/>
          <w:lang w:val="az-Latn-AZ"/>
        </w:rPr>
        <w:t xml:space="preserve">hesabatlarının </w:t>
      </w:r>
      <w:r w:rsidRPr="009C2EF2">
        <w:rPr>
          <w:rFonts w:ascii="Times New Roman" w:hAnsi="Times New Roman"/>
          <w:color w:val="231F20"/>
          <w:sz w:val="24"/>
          <w:szCs w:val="24"/>
          <w:lang w:val="az-Latn-AZ"/>
        </w:rPr>
        <w:t>ədalətli dəyərində paket güzəştlərin edilməsi qadağandır.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5"/>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3C64E0" w:rsidP="00537609">
      <w:pPr>
        <w:pStyle w:val="a3"/>
        <w:numPr>
          <w:ilvl w:val="1"/>
          <w:numId w:val="75"/>
        </w:numPr>
        <w:tabs>
          <w:tab w:val="left" w:pos="1531"/>
        </w:tabs>
        <w:kinsoku w:val="0"/>
        <w:overflowPunct w:val="0"/>
        <w:spacing w:before="122" w:line="250" w:lineRule="auto"/>
        <w:ind w:right="117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 yanaşması gələcək pul axınlarını vahid cari dəyərə çevirməklə dəyər göstəricisini yaradır. Gəlir yanaşmasına görə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dəyəri gəlir dəyəri, pul axını və ya aktivin yaratmış olduğu </w:t>
      </w:r>
      <w:r w:rsidRPr="009C2EF2">
        <w:rPr>
          <w:rFonts w:ascii="Times New Roman" w:hAnsi="Times New Roman"/>
          <w:i/>
          <w:color w:val="231F20"/>
          <w:spacing w:val="-1"/>
          <w:sz w:val="24"/>
          <w:szCs w:val="24"/>
          <w:lang w:val="az-Latn-AZ"/>
        </w:rPr>
        <w:t xml:space="preserve">qənaət </w:t>
      </w:r>
      <w:r w:rsidRPr="009C2EF2">
        <w:rPr>
          <w:rFonts w:ascii="Times New Roman" w:hAnsi="Times New Roman"/>
          <w:color w:val="231F20"/>
          <w:sz w:val="24"/>
          <w:szCs w:val="24"/>
          <w:lang w:val="az-Latn-AZ"/>
        </w:rPr>
        <w:t>əsasında müəyyən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75"/>
        </w:numPr>
        <w:tabs>
          <w:tab w:val="left" w:pos="153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 yanaşması aşağıdakı hallarda tətbiq </w:t>
      </w:r>
      <w:r w:rsidRPr="009C2EF2">
        <w:rPr>
          <w:rFonts w:ascii="Times New Roman" w:hAnsi="Times New Roman"/>
          <w:i/>
          <w:color w:val="231F20"/>
          <w:spacing w:val="1"/>
          <w:sz w:val="24"/>
          <w:szCs w:val="24"/>
          <w:lang w:val="az-Latn-AZ"/>
        </w:rPr>
        <w:t xml:space="preserve">olunmalı </w:t>
      </w:r>
      <w:r w:rsidRPr="009C2EF2">
        <w:rPr>
          <w:rFonts w:ascii="Times New Roman" w:hAnsi="Times New Roman"/>
          <w:color w:val="231F20"/>
          <w:sz w:val="24"/>
          <w:szCs w:val="24"/>
          <w:lang w:val="az-Latn-AZ"/>
        </w:rPr>
        <w:t xml:space="preserve">və </w:t>
      </w:r>
      <w:r w:rsidRPr="009C2EF2">
        <w:rPr>
          <w:rFonts w:ascii="Times New Roman" w:hAnsi="Times New Roman"/>
          <w:i/>
          <w:color w:val="231F20"/>
          <w:sz w:val="24"/>
          <w:szCs w:val="24"/>
          <w:lang w:val="az-Latn-AZ"/>
        </w:rPr>
        <w:t>qiymətləndirilməlidir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5"/>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gəlir yaratma qabiliyyəti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maraqları baxımından dəyərə təsir edən mühüm element hesab olunur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5"/>
        </w:numPr>
        <w:tabs>
          <w:tab w:val="left" w:pos="1815"/>
        </w:tabs>
        <w:kinsoku w:val="0"/>
        <w:overflowPunct w:val="0"/>
        <w:spacing w:line="250" w:lineRule="auto"/>
        <w:ind w:left="1814" w:right="150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gələcək gəlir çəkisi və vaxtı ilə bağlı proqnozların olmasına baxmayaraq bazar müqayisələri demək olar ki yox dərəcəsindədir.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36</w:t>
      </w:r>
    </w:p>
    <w:p w:rsidR="00D02DD9" w:rsidRPr="009C2EF2" w:rsidRDefault="00D02DD9">
      <w:pPr>
        <w:pStyle w:val="a3"/>
        <w:kinsoku w:val="0"/>
        <w:overflowPunct w:val="0"/>
        <w:ind w:left="4185" w:right="4350"/>
        <w:jc w:val="center"/>
        <w:rPr>
          <w:rFonts w:ascii="Times New Roman" w:hAnsi="Times New Roman"/>
          <w:color w:val="000000"/>
          <w:sz w:val="24"/>
          <w:szCs w:val="24"/>
          <w:lang w:val="az-Latn-AZ"/>
        </w:rPr>
        <w:sectPr w:rsidR="00D02DD9" w:rsidRPr="009C2EF2">
          <w:footerReference w:type="default" r:id="rId4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459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7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F94E2C" id="Freeform 93" o:spid="_x0000_s1026" style="position:absolute;margin-left:408.15pt;margin-top:0;width:34pt;height:663.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PMegMAAHU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B4RjPM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3C64E0" w:rsidP="00537609">
      <w:pPr>
        <w:pStyle w:val="a3"/>
        <w:numPr>
          <w:ilvl w:val="1"/>
          <w:numId w:val="75"/>
        </w:numPr>
        <w:tabs>
          <w:tab w:val="left" w:pos="681"/>
        </w:tabs>
        <w:kinsoku w:val="0"/>
        <w:overflowPunct w:val="0"/>
        <w:spacing w:before="77" w:line="250" w:lineRule="auto"/>
        <w:ind w:left="680"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yanaşmasının tətbiq </w:t>
      </w:r>
      <w:r w:rsidRPr="009C2EF2">
        <w:rPr>
          <w:rFonts w:ascii="Times New Roman" w:hAnsi="Times New Roman"/>
          <w:i/>
          <w:color w:val="231F20"/>
          <w:spacing w:val="1"/>
          <w:sz w:val="24"/>
          <w:szCs w:val="24"/>
          <w:lang w:val="az-Latn-AZ"/>
        </w:rPr>
        <w:t>olunmasını</w:t>
      </w:r>
      <w:r w:rsidR="000B31C1"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və </w:t>
      </w:r>
      <w:r w:rsidRPr="009C2EF2">
        <w:rPr>
          <w:rFonts w:ascii="Times New Roman" w:hAnsi="Times New Roman"/>
          <w:i/>
          <w:color w:val="231F20"/>
          <w:sz w:val="24"/>
          <w:szCs w:val="24"/>
          <w:lang w:val="az-Latn-AZ"/>
        </w:rPr>
        <w:t xml:space="preserve">qiymətləndirilməsini </w:t>
      </w:r>
      <w:r w:rsidRPr="009C2EF2">
        <w:rPr>
          <w:rFonts w:ascii="Times New Roman" w:hAnsi="Times New Roman"/>
          <w:color w:val="231F20"/>
          <w:spacing w:val="1"/>
          <w:sz w:val="24"/>
          <w:szCs w:val="24"/>
          <w:lang w:val="az-Latn-AZ"/>
        </w:rPr>
        <w:t xml:space="preserve">tələb edən yuxarıdakı şərtlərlə yanaşı gəlir yanaşmasının tətbiq olunması və </w:t>
      </w:r>
      <w:r w:rsidRPr="009C2EF2">
        <w:rPr>
          <w:rFonts w:ascii="Times New Roman" w:hAnsi="Times New Roman"/>
          <w:i/>
          <w:color w:val="231F20"/>
          <w:sz w:val="24"/>
          <w:szCs w:val="24"/>
          <w:lang w:val="az-Latn-AZ"/>
        </w:rPr>
        <w:t xml:space="preserve">qiymətləndirilməsi </w:t>
      </w:r>
      <w:r w:rsidRPr="009C2EF2">
        <w:rPr>
          <w:rFonts w:ascii="Times New Roman" w:hAnsi="Times New Roman"/>
          <w:color w:val="231F20"/>
          <w:spacing w:val="1"/>
          <w:sz w:val="24"/>
          <w:szCs w:val="24"/>
          <w:lang w:val="az-Latn-AZ"/>
        </w:rPr>
        <w:t xml:space="preserve">üçün əlavə şərtlər də müəyyənləşdirilib. Aşağıdakı şərtlər əsasında gəlir yanaşmasını tətbiq edərkən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digər yanaşmaların</w:t>
      </w:r>
      <w:r w:rsidR="001F22AE"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tətbiq edilib-edilməyəcəyini və gəlir yanaşmasından əldə olunan dəyər göstəricisinin təsdiqlənməsi üçün həmin yanaşmaların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olub-olmamasını nəzərdən keçirməlidir: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5"/>
        </w:numPr>
        <w:tabs>
          <w:tab w:val="left" w:pos="965"/>
        </w:tabs>
        <w:kinsoku w:val="0"/>
        <w:overflowPunct w:val="0"/>
        <w:spacing w:line="250" w:lineRule="auto"/>
        <w:ind w:left="964" w:right="120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gəlir yaratma qabiliyyəti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maraqları baxımından dəyərə təsir edən amillərdən yalnız biri olduqda,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5"/>
        </w:numPr>
        <w:tabs>
          <w:tab w:val="left" w:pos="965"/>
        </w:tabs>
        <w:kinsoku w:val="0"/>
        <w:overflowPunct w:val="0"/>
        <w:spacing w:line="250" w:lineRule="auto"/>
        <w:ind w:left="964" w:right="105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5808" behindDoc="0" locked="0" layoutInCell="0" allowOverlap="1">
                <wp:simplePos x="0" y="0"/>
                <wp:positionH relativeFrom="page">
                  <wp:posOffset>5276215</wp:posOffset>
                </wp:positionH>
                <wp:positionV relativeFrom="paragraph">
                  <wp:posOffset>244475</wp:posOffset>
                </wp:positionV>
                <wp:extent cx="152400" cy="4004945"/>
                <wp:effectExtent l="0" t="0" r="0" b="0"/>
                <wp:wrapNone/>
                <wp:docPr id="17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6" type="#_x0000_t202" style="position:absolute;left:0;text-align:left;margin-left:415.45pt;margin-top:19.25pt;width:12pt;height:315.3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qiymətləndirilən </w:t>
      </w:r>
      <w:r w:rsidR="003C64E0" w:rsidRPr="009C2EF2">
        <w:rPr>
          <w:rFonts w:ascii="Times New Roman" w:hAnsi="Times New Roman"/>
          <w:i/>
          <w:color w:val="231F20"/>
          <w:spacing w:val="-1"/>
          <w:sz w:val="24"/>
          <w:szCs w:val="24"/>
          <w:lang w:val="az-Latn-AZ"/>
        </w:rPr>
        <w:t xml:space="preserve">aktivin </w:t>
      </w:r>
      <w:r w:rsidR="003C64E0" w:rsidRPr="009C2EF2">
        <w:rPr>
          <w:rFonts w:ascii="Times New Roman" w:hAnsi="Times New Roman"/>
          <w:color w:val="231F20"/>
          <w:sz w:val="24"/>
          <w:szCs w:val="24"/>
          <w:lang w:val="az-Latn-AZ"/>
        </w:rPr>
        <w:t xml:space="preserve">gələcək gəlir çəkisi və vaxtı ilə bağlı </w:t>
      </w:r>
      <w:r w:rsidR="003C64E0" w:rsidRPr="009C2EF2">
        <w:rPr>
          <w:rFonts w:ascii="Times New Roman" w:hAnsi="Times New Roman"/>
          <w:i/>
          <w:color w:val="231F20"/>
          <w:sz w:val="24"/>
          <w:szCs w:val="24"/>
          <w:lang w:val="az-Latn-AZ"/>
        </w:rPr>
        <w:t xml:space="preserve">dəqiq </w:t>
      </w:r>
      <w:r w:rsidR="003C64E0" w:rsidRPr="009C2EF2">
        <w:rPr>
          <w:rFonts w:ascii="Times New Roman" w:hAnsi="Times New Roman"/>
          <w:color w:val="231F20"/>
          <w:sz w:val="24"/>
          <w:szCs w:val="24"/>
          <w:lang w:val="az-Latn-AZ"/>
        </w:rPr>
        <w:t>məlumat olmadıqda,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5"/>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ilə bağlı məlumat çatışmazlığı </w:t>
      </w:r>
      <w:r w:rsidR="000B31C1" w:rsidRPr="009C2EF2">
        <w:rPr>
          <w:rFonts w:ascii="Times New Roman" w:hAnsi="Times New Roman"/>
          <w:color w:val="231F20"/>
          <w:sz w:val="24"/>
          <w:szCs w:val="24"/>
          <w:lang w:val="az-Latn-AZ"/>
        </w:rPr>
        <w:t>olduqda</w:t>
      </w:r>
      <w:r w:rsidRPr="009C2EF2">
        <w:rPr>
          <w:rFonts w:ascii="Times New Roman" w:hAnsi="Times New Roman"/>
          <w:color w:val="231F20"/>
          <w:sz w:val="24"/>
          <w:szCs w:val="24"/>
          <w:lang w:val="az-Latn-AZ"/>
        </w:rPr>
        <w:t xml:space="preserve"> (yəni, azlıq sahibi keçmiş maliyyə hesabatlarına daxil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lakin proqnozlara və büdcə məlumatlarına daxil ola bilməz)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5"/>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hələ gəlir yaratmağa başlamamasına baxmayaraq onun gəlir yaradacağı proqnozlaşdırıldıqda.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5"/>
        </w:numPr>
        <w:tabs>
          <w:tab w:val="left" w:pos="681"/>
        </w:tabs>
        <w:kinsoku w:val="0"/>
        <w:overflowPunct w:val="0"/>
        <w:spacing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 yanaşmasının əsas məqsədi investorun yatırdığı sərmayədən gəlir əldə edə bilməsi və bu gəlirdə investisiya ilə bağlı məqbul risk səviyyəsinin </w:t>
      </w:r>
      <w:r w:rsidRPr="009C2EF2">
        <w:rPr>
          <w:rFonts w:ascii="Times New Roman" w:hAnsi="Times New Roman"/>
          <w:i/>
          <w:color w:val="231F20"/>
          <w:spacing w:val="1"/>
          <w:sz w:val="24"/>
          <w:szCs w:val="24"/>
          <w:lang w:val="az-Latn-AZ"/>
        </w:rPr>
        <w:t>əks olunmasıdır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5"/>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Ümumilikdə, investorlar yalnız  sistematik riskə ("bazar riski" və ya "diversifikasiyasız risk" kimi də tanınır) görə təzminatın ödəniləcəyini gözləyə bilərlər.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4"/>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Yanaşmasının Metodları</w:t>
      </w:r>
    </w:p>
    <w:p w:rsidR="00D02DD9" w:rsidRPr="009C2EF2" w:rsidRDefault="003C64E0">
      <w:pPr>
        <w:pStyle w:val="a3"/>
        <w:numPr>
          <w:ilvl w:val="1"/>
          <w:numId w:val="74"/>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yanaşmasının həyata keçirilməsi ilə bağlı müxtəlif yolların təklif olunmasına baxmayaraq gəlir yanaşmasının metodları gələcək pul axınının cari dəyərə  diskontlaşdırılmasına əsaslanır. Onlar Diskontlaşdırılmış Pul </w:t>
      </w:r>
      <w:r w:rsidRPr="009C2EF2">
        <w:rPr>
          <w:rFonts w:ascii="Times New Roman" w:hAnsi="Times New Roman"/>
          <w:color w:val="231F20"/>
          <w:spacing w:val="1"/>
          <w:sz w:val="24"/>
          <w:szCs w:val="24"/>
          <w:lang w:val="az-Latn-AZ"/>
        </w:rPr>
        <w:lastRenderedPageBreak/>
        <w:t>Axını (DPA) metodunun variasiyalarıdır və aşağıdakı anlayışlar bütün gəlir yanaşması metodlarına qismən və ya tam şəkildə tətbiq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Diskontlaşdırılmış Pul Axını (DPA) Metodu</w:t>
      </w:r>
    </w:p>
    <w:p w:rsidR="00D02DD9" w:rsidRPr="009C2EF2" w:rsidRDefault="003C64E0">
      <w:pPr>
        <w:pStyle w:val="a3"/>
        <w:numPr>
          <w:ilvl w:val="1"/>
          <w:numId w:val="74"/>
        </w:numPr>
        <w:tabs>
          <w:tab w:val="left" w:pos="681"/>
        </w:tabs>
        <w:kinsoku w:val="0"/>
        <w:overflowPunct w:val="0"/>
        <w:spacing w:before="122" w:line="250" w:lineRule="auto"/>
        <w:ind w:left="680" w:right="120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DPA metoduna görə proqnozlaşdırılmış pul axını  qiymətləndirmə tarixinə geri diskontlaşdırılır və bu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cari dəyəri ilə nəticələnir.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Uzunmüddətli və ya qeyri-məhdud istifadə müddətli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üzrə bəzi hallarda DPA-ya proqnozlaşdırma müddətinin sonunda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qiymətini əks etdirən qalıq dəyər daxil ola </w:t>
      </w:r>
      <w:r w:rsidRPr="009C2EF2">
        <w:rPr>
          <w:rFonts w:ascii="Times New Roman" w:hAnsi="Times New Roman"/>
          <w:i/>
          <w:color w:val="231F20"/>
          <w:spacing w:val="-2"/>
          <w:sz w:val="24"/>
          <w:szCs w:val="24"/>
          <w:lang w:val="az-Latn-AZ"/>
        </w:rPr>
        <w:t>bilər</w:t>
      </w:r>
      <w:r w:rsidRPr="009C2EF2">
        <w:rPr>
          <w:rFonts w:ascii="Times New Roman" w:hAnsi="Times New Roman"/>
          <w:color w:val="231F20"/>
          <w:sz w:val="24"/>
          <w:szCs w:val="24"/>
          <w:lang w:val="az-Latn-AZ"/>
        </w:rPr>
        <w:t xml:space="preserve">. Digər hallarda isə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dəyəri konkret proqnozlaşdırma müddəti olmadan yalnız qalıq dəyər əsasında hesablana bilər. Bu metoda gəlirin kapitallaşdırılması metodu kimi də istinad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0B31C1">
      <w:pPr>
        <w:pStyle w:val="a3"/>
        <w:numPr>
          <w:ilvl w:val="1"/>
          <w:numId w:val="74"/>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DPA met</w:t>
      </w:r>
      <w:r w:rsidR="003C64E0" w:rsidRPr="009C2EF2">
        <w:rPr>
          <w:rFonts w:ascii="Times New Roman" w:hAnsi="Times New Roman"/>
          <w:color w:val="231F20"/>
          <w:sz w:val="24"/>
          <w:szCs w:val="24"/>
          <w:lang w:val="az-Latn-AZ"/>
        </w:rPr>
        <w: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spacing w:line="250" w:lineRule="auto"/>
        <w:ind w:left="964" w:right="9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növünə və tapşırığa görə pul axınının ən uyğun növünün seçilməsi (məsələn, vergi öncəsi və ya vergi sonrası pul axını, ümumi pul axınları və ya səhm üzrə pul axını, Real və ya nominal pul axını və s.)</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color w:val="231F20"/>
          <w:sz w:val="24"/>
          <w:szCs w:val="24"/>
          <w:lang w:val="az-Latn-AZ"/>
        </w:rPr>
        <w:t>pul axınının proqnozlaşdırılacağı ən uyğun müddətin müəyyənləşdirilməsi,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həmin müddət üzrə pul axını proqnozlarının hazırlanması,</w:t>
      </w:r>
    </w:p>
    <w:p w:rsidR="00D02DD9" w:rsidRPr="009C2EF2" w:rsidRDefault="00D02DD9">
      <w:pPr>
        <w:pStyle w:val="a3"/>
        <w:kinsoku w:val="0"/>
        <w:overflowPunct w:val="0"/>
        <w:spacing w:before="6"/>
        <w:ind w:left="0"/>
        <w:rPr>
          <w:rFonts w:ascii="Times New Roman" w:hAnsi="Times New Roman"/>
          <w:sz w:val="24"/>
          <w:szCs w:val="24"/>
          <w:lang w:val="az-Latn-AZ"/>
        </w:rPr>
      </w:pPr>
    </w:p>
    <w:p w:rsidR="00D02DD9" w:rsidRPr="009C2EF2" w:rsidRDefault="003C64E0">
      <w:pPr>
        <w:pStyle w:val="a3"/>
        <w:kinsoku w:val="0"/>
        <w:overflowPunct w:val="0"/>
        <w:spacing w:before="80"/>
        <w:ind w:left="2876"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37</w:t>
      </w:r>
    </w:p>
    <w:p w:rsidR="00D02DD9" w:rsidRPr="009C2EF2" w:rsidRDefault="00D02DD9">
      <w:pPr>
        <w:pStyle w:val="a3"/>
        <w:kinsoku w:val="0"/>
        <w:overflowPunct w:val="0"/>
        <w:spacing w:before="80"/>
        <w:ind w:left="2876" w:right="3725"/>
        <w:jc w:val="center"/>
        <w:rPr>
          <w:rFonts w:ascii="Times New Roman" w:hAnsi="Times New Roman"/>
          <w:color w:val="000000"/>
          <w:sz w:val="24"/>
          <w:szCs w:val="24"/>
          <w:lang w:val="az-Latn-AZ"/>
        </w:rPr>
        <w:sectPr w:rsidR="00D02DD9" w:rsidRPr="009C2EF2">
          <w:footerReference w:type="default" r:id="rId4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5616" behindDoc="1" locked="0" layoutInCell="0" allowOverlap="1">
                <wp:simplePos x="0" y="0"/>
                <wp:positionH relativeFrom="page">
                  <wp:posOffset>0</wp:posOffset>
                </wp:positionH>
                <wp:positionV relativeFrom="page">
                  <wp:posOffset>0</wp:posOffset>
                </wp:positionV>
                <wp:extent cx="432435" cy="8424545"/>
                <wp:effectExtent l="0" t="0" r="0" b="0"/>
                <wp:wrapNone/>
                <wp:docPr id="17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7E8AEC" id="Freeform 95" o:spid="_x0000_s1026" style="position:absolute;margin-left:0;margin-top:0;width:34.05pt;height:663.3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AzwbHg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2"/>
          <w:numId w:val="74"/>
        </w:numPr>
        <w:tabs>
          <w:tab w:val="left" w:pos="1815"/>
        </w:tabs>
        <w:kinsoku w:val="0"/>
        <w:overflowPunct w:val="0"/>
        <w:spacing w:before="77" w:line="250" w:lineRule="auto"/>
        <w:ind w:left="1814" w:right="133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dəyərin proqnozlaşdırma müddətinin sonunda 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üçün uyğun olub-olmamasının müəyyənləşdirilməsi, daha sonra isə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növünə uyğun qalıq dəyərin müəyyənləşdirilməsi,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uyğun diskont faiz dərəcəsinin müəyyənləşdirilməsi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dəyər də daxil olmaqla proqnozlaşdırılmış pul axınına diskont faiz dərəcəsinin tətbiqi.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3"/>
          <w:sz w:val="24"/>
          <w:szCs w:val="24"/>
          <w:lang w:val="az-Latn-AZ"/>
        </w:rPr>
        <w:t>Pul Axınının Növü</w:t>
      </w:r>
    </w:p>
    <w:p w:rsidR="00D02DD9" w:rsidRPr="009C2EF2" w:rsidRDefault="0075026C">
      <w:pPr>
        <w:pStyle w:val="a3"/>
        <w:numPr>
          <w:ilvl w:val="1"/>
          <w:numId w:val="74"/>
        </w:numPr>
        <w:tabs>
          <w:tab w:val="left" w:pos="1531"/>
        </w:tabs>
        <w:kinsoku w:val="0"/>
        <w:overflowPunct w:val="0"/>
        <w:spacing w:before="122" w:line="250" w:lineRule="auto"/>
        <w:ind w:right="1546"/>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76832" behindDoc="0" locked="0" layoutInCell="0" allowOverlap="1">
                <wp:simplePos x="0" y="0"/>
                <wp:positionH relativeFrom="page">
                  <wp:posOffset>151130</wp:posOffset>
                </wp:positionH>
                <wp:positionV relativeFrom="paragraph">
                  <wp:posOffset>414020</wp:posOffset>
                </wp:positionV>
                <wp:extent cx="152400" cy="4004945"/>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7" type="#_x0000_t202" style="position:absolute;left:0;text-align:left;margin-left:11.9pt;margin-top:32.6pt;width:12pt;height:315.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P+rwIAALc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pacing w:val="1"/>
          <w:sz w:val="24"/>
          <w:szCs w:val="24"/>
          <w:lang w:val="az-Latn-AZ"/>
        </w:rPr>
        <w:t xml:space="preserve">təbiətinə və tapşırığın məqsədinə uyğun pul axınının növünü müəyyənləşdirərkən </w:t>
      </w:r>
      <w:r w:rsidR="003C64E0" w:rsidRPr="009C2EF2">
        <w:rPr>
          <w:rFonts w:ascii="Times New Roman" w:hAnsi="Times New Roman"/>
          <w:i/>
          <w:color w:val="231F20"/>
          <w:sz w:val="24"/>
          <w:szCs w:val="24"/>
          <w:lang w:val="az-Latn-AZ"/>
        </w:rPr>
        <w:t xml:space="preserve">qiymətləndiricilər </w:t>
      </w:r>
      <w:r w:rsidR="003C64E0" w:rsidRPr="009C2EF2">
        <w:rPr>
          <w:rFonts w:ascii="Times New Roman" w:hAnsi="Times New Roman"/>
          <w:color w:val="231F20"/>
          <w:spacing w:val="1"/>
          <w:sz w:val="24"/>
          <w:szCs w:val="24"/>
          <w:lang w:val="az-Latn-AZ"/>
        </w:rPr>
        <w:t xml:space="preserve">aşağıdakı amilləri nəzərə almalıdırlar: Bundan başqa diskont faiz dərəcəsi və digər məlumatlar seçilmiş pul axınının növünə uyğun </w:t>
      </w:r>
      <w:r w:rsidR="003C64E0" w:rsidRPr="009C2EF2">
        <w:rPr>
          <w:rFonts w:ascii="Times New Roman" w:hAnsi="Times New Roman"/>
          <w:i/>
          <w:color w:val="231F20"/>
          <w:sz w:val="24"/>
          <w:szCs w:val="24"/>
          <w:lang w:val="az-Latn-AZ"/>
        </w:rPr>
        <w:t>olmalıdır</w:t>
      </w:r>
      <w:r w:rsidR="003C64E0"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74"/>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Tam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bölüşdürülmüş səhm üzrə pul axını: Adətən, tam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üzrə pul axınından istifadə olunur.  Lakin, səhm üzrə pul axını (əsas borc və ya faiz üzrə ödəniş edildikdən sonra) və ya divident (yalnız səhm sahibləri arasında bölüşdürülmüş pul axını) kimi gəlirin digər səviyyələrindən də istifadə </w:t>
      </w:r>
      <w:r w:rsidRPr="009C2EF2">
        <w:rPr>
          <w:rFonts w:ascii="Times New Roman" w:hAnsi="Times New Roman"/>
          <w:i/>
          <w:color w:val="231F20"/>
          <w:spacing w:val="-1"/>
          <w:sz w:val="24"/>
          <w:szCs w:val="24"/>
          <w:lang w:val="az-Latn-AZ"/>
        </w:rPr>
        <w:t>oluna</w:t>
      </w:r>
      <w:r w:rsidR="000B31C1"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 xml:space="preserve">bilər. Ən çox tam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üzrə pul axını  müşahidə olunur,</w:t>
      </w:r>
      <w:r w:rsidR="000B31C1"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çünki aktiv maliyyələşdirilməsindən və ya gəlirin divident kimi ödənilib-ödənilməməsindən və ya təkrar yatırılıb-yatırılmamasından asılı olmayaraq vahid dəyərə malik </w:t>
      </w:r>
      <w:r w:rsidRPr="009C2EF2">
        <w:rPr>
          <w:rFonts w:ascii="Times New Roman" w:hAnsi="Times New Roman"/>
          <w:i/>
          <w:color w:val="231F20"/>
          <w:sz w:val="24"/>
          <w:szCs w:val="24"/>
          <w:lang w:val="az-Latn-AZ"/>
        </w:rPr>
        <w:t>olmalıdır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50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Pul axını vergi öncəsi və ya vergi sonrası bazaları əsasında ola bilər:  Vergi sonrası bazasından istifadə olunduğu təqdirdə tətbiq olunmuş vergi dərəcəsi dəyər bazasına uyğun olmalı və əksər hallarda sahibkara aid vergi dərəcəsi kimi deyil, əsasən </w:t>
      </w:r>
      <w:r w:rsidRPr="009C2EF2">
        <w:rPr>
          <w:rFonts w:ascii="Times New Roman" w:hAnsi="Times New Roman"/>
          <w:i/>
          <w:color w:val="231F20"/>
          <w:spacing w:val="1"/>
          <w:sz w:val="24"/>
          <w:szCs w:val="24"/>
          <w:lang w:val="az-Latn-AZ"/>
        </w:rPr>
        <w:t xml:space="preserve">iştirakçıya </w:t>
      </w:r>
      <w:r w:rsidRPr="009C2EF2">
        <w:rPr>
          <w:rFonts w:ascii="Times New Roman" w:hAnsi="Times New Roman"/>
          <w:color w:val="231F20"/>
          <w:sz w:val="24"/>
          <w:szCs w:val="24"/>
          <w:lang w:val="az-Latn-AZ"/>
        </w:rPr>
        <w:t xml:space="preserve">aid vergi dərəcəsi kimi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18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Real pul axınına qarşı nominal pul axını: Real pul axınında </w:t>
      </w:r>
      <w:r w:rsidR="000B31C1" w:rsidRPr="009C2EF2">
        <w:rPr>
          <w:rFonts w:ascii="Times New Roman" w:hAnsi="Times New Roman"/>
          <w:color w:val="231F20"/>
          <w:sz w:val="24"/>
          <w:szCs w:val="24"/>
          <w:lang w:val="az-Latn-AZ"/>
        </w:rPr>
        <w:t>inflyasiyanın</w:t>
      </w:r>
      <w:r w:rsidRPr="009C2EF2">
        <w:rPr>
          <w:rFonts w:ascii="Times New Roman" w:hAnsi="Times New Roman"/>
          <w:color w:val="231F20"/>
          <w:sz w:val="24"/>
          <w:szCs w:val="24"/>
          <w:lang w:val="az-Latn-AZ"/>
        </w:rPr>
        <w:t xml:space="preserve"> nəzərə alınmadığı halda nominal pul axınında </w:t>
      </w:r>
      <w:r w:rsidR="000B31C1"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ehtimalı nəzərə alınır. Gözlənilən pul axınlarında </w:t>
      </w:r>
      <w:r w:rsidRPr="009C2EF2">
        <w:rPr>
          <w:rFonts w:ascii="Times New Roman" w:hAnsi="Times New Roman"/>
          <w:color w:val="231F20"/>
          <w:sz w:val="24"/>
          <w:szCs w:val="24"/>
          <w:lang w:val="az-Latn-AZ"/>
        </w:rPr>
        <w:lastRenderedPageBreak/>
        <w:t xml:space="preserve">gözlənilən </w:t>
      </w:r>
      <w:r w:rsidR="000B31C1"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dərəcəsi nəzərdə tutulduğu təqdirdə diskont faiz dərəcəsinə həmin </w:t>
      </w:r>
      <w:r w:rsidR="000B31C1"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dərəcəsi də daxil olmalıdır.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64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Valyuta: Tətbiq olunan valyutanın </w:t>
      </w:r>
      <w:r w:rsidR="000B31C1"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və risk ilə bağlı ehtimallara təsiri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Bu daha çox formalaşmaqda olan bazarlarda və ya yüksək </w:t>
      </w:r>
      <w:r w:rsidR="000B31C1"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dərəcəsi olan valyutalarda özünü doğruldur.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 edilmiş pul axınının növü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 xml:space="preserve">marağına uyğun </w:t>
      </w:r>
      <w:r w:rsidRPr="009C2EF2">
        <w:rPr>
          <w:rFonts w:ascii="Times New Roman" w:hAnsi="Times New Roman"/>
          <w:i/>
          <w:color w:val="231F20"/>
          <w:spacing w:val="1"/>
          <w:sz w:val="24"/>
          <w:szCs w:val="24"/>
          <w:lang w:val="az-Latn-AZ"/>
        </w:rPr>
        <w:t>olmalıdır</w:t>
      </w:r>
      <w:r w:rsidRPr="009C2EF2">
        <w:rPr>
          <w:rFonts w:ascii="Times New Roman" w:hAnsi="Times New Roman"/>
          <w:color w:val="231F20"/>
          <w:sz w:val="24"/>
          <w:szCs w:val="24"/>
          <w:lang w:val="az-Latn-AZ"/>
        </w:rPr>
        <w:t xml:space="preserve">. Məsələn, daşınmaz əmlak ilə bağlı pul axını və ya diskont faiz dərəcəsi əsasən vergi öncəsi baza əsasında formalaşdığı halda müəssisələr ilə bağlı pul axını və ya diskont faiz dərəcəsi vergi sonrası baza əsasında formalaşır. Vergi öncəsi və vergi sonrası bazalarının tənzimlənməsi qarışıq və xətaya </w:t>
      </w:r>
      <w:r w:rsidR="000B31C1" w:rsidRPr="009C2EF2">
        <w:rPr>
          <w:rFonts w:ascii="Times New Roman" w:hAnsi="Times New Roman"/>
          <w:color w:val="231F20"/>
          <w:sz w:val="24"/>
          <w:szCs w:val="24"/>
          <w:lang w:val="az-Latn-AZ"/>
        </w:rPr>
        <w:t>meylli</w:t>
      </w:r>
      <w:r w:rsidRPr="009C2EF2">
        <w:rPr>
          <w:rFonts w:ascii="Times New Roman" w:hAnsi="Times New Roman"/>
          <w:color w:val="231F20"/>
          <w:sz w:val="24"/>
          <w:szCs w:val="24"/>
          <w:lang w:val="az-Latn-AZ"/>
        </w:rPr>
        <w:t xml:space="preserve"> ola bilər, beləliklə onları tənzimləyərkən diqqətli olmaq </w:t>
      </w:r>
      <w:r w:rsidRPr="009C2EF2">
        <w:rPr>
          <w:rFonts w:ascii="Times New Roman" w:hAnsi="Times New Roman"/>
          <w:i/>
          <w:color w:val="231F20"/>
          <w:spacing w:val="1"/>
          <w:sz w:val="24"/>
          <w:szCs w:val="24"/>
          <w:lang w:val="az-Latn-AZ"/>
        </w:rPr>
        <w:t>lazımdır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16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pul axını proqnozlarında istifadə olunan valyutadan (funksional valyuta) fərqli valyutada (qiymətləndirmə v</w:t>
      </w:r>
      <w:r w:rsidR="000B31C1" w:rsidRPr="009C2EF2">
        <w:rPr>
          <w:rFonts w:ascii="Times New Roman" w:hAnsi="Times New Roman"/>
          <w:color w:val="231F20"/>
          <w:spacing w:val="1"/>
          <w:sz w:val="24"/>
          <w:szCs w:val="24"/>
          <w:lang w:val="az-Latn-AZ"/>
        </w:rPr>
        <w:t>alyutası) aparıldığı təqdirdə qi</w:t>
      </w:r>
      <w:r w:rsidRPr="009C2EF2">
        <w:rPr>
          <w:rFonts w:ascii="Times New Roman" w:hAnsi="Times New Roman"/>
          <w:color w:val="231F20"/>
          <w:spacing w:val="1"/>
          <w:sz w:val="24"/>
          <w:szCs w:val="24"/>
          <w:lang w:val="az-Latn-AZ"/>
        </w:rPr>
        <w:t xml:space="preserve">ymətləndirici aşağıdakı valyuta dəyişmə metodlarının biridən istifadə </w:t>
      </w:r>
      <w:r w:rsidRPr="009C2EF2">
        <w:rPr>
          <w:rFonts w:ascii="Times New Roman" w:hAnsi="Times New Roman"/>
          <w:i/>
          <w:color w:val="231F20"/>
          <w:sz w:val="24"/>
          <w:szCs w:val="24"/>
          <w:lang w:val="az-Latn-AZ"/>
        </w:rPr>
        <w:t>etməlidir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32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Funksional valyutaya uyğun diskont faiz dərəcəsindən istifadə edərək funksional valyutada pul axınını diskontlaşdırmalı. Pul axınlarının cari dəyərini qiymətləndirmə tarixindəki məzənnə dərəcəsi ilə qiymətləndirmə valyutasına çevirməli.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38</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4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6640" behindDoc="1" locked="0" layoutInCell="0" allowOverlap="1">
                <wp:simplePos x="0" y="0"/>
                <wp:positionH relativeFrom="page">
                  <wp:posOffset>5183505</wp:posOffset>
                </wp:positionH>
                <wp:positionV relativeFrom="page">
                  <wp:posOffset>0</wp:posOffset>
                </wp:positionV>
                <wp:extent cx="431800" cy="8423910"/>
                <wp:effectExtent l="0" t="0" r="0" b="0"/>
                <wp:wrapNone/>
                <wp:docPr id="17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4F38C9" id="Freeform 97" o:spid="_x0000_s1026" style="position:absolute;margin-left:408.15pt;margin-top:0;width:34pt;height:663.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86egMAAHU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DMzv86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3C64E0" w:rsidP="000B31C1">
      <w:pPr>
        <w:pStyle w:val="a3"/>
        <w:numPr>
          <w:ilvl w:val="2"/>
          <w:numId w:val="74"/>
        </w:numPr>
        <w:tabs>
          <w:tab w:val="left" w:pos="965"/>
        </w:tabs>
        <w:kinsoku w:val="0"/>
        <w:overflowPunct w:val="0"/>
        <w:spacing w:before="77" w:line="250" w:lineRule="auto"/>
        <w:ind w:left="964" w:right="99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Funksional valyuta proqnozlarını qiymətləndirmə valyuta proqnozlarına çevirmək üçün valyuta mübadiləsi əyrisindən istifadə etməli, qiymətləndirmə valyutasına uyğun diskont faiz dərəcəsindən istifadə edərək proqnozları diskontlaşdırmalı. Etibarlı valyuta mübadiləsi əyrisi olmadığı təqdirdə (məsələn, müvafiq valyuta mübadiləsi bazarlarında likvidlik çatışmazlığı səbəbindən), bu metoddan istifadə oluna </w:t>
      </w:r>
      <w:r w:rsidRPr="009C2EF2">
        <w:rPr>
          <w:rFonts w:ascii="Times New Roman" w:hAnsi="Times New Roman"/>
          <w:i/>
          <w:color w:val="231F20"/>
          <w:spacing w:val="-1"/>
          <w:sz w:val="24"/>
          <w:szCs w:val="24"/>
          <w:lang w:val="az-Latn-AZ"/>
        </w:rPr>
        <w:t xml:space="preserve">bilməz </w:t>
      </w:r>
      <w:r w:rsidRPr="009C2EF2">
        <w:rPr>
          <w:rFonts w:ascii="Times New Roman" w:hAnsi="Times New Roman"/>
          <w:color w:val="231F20"/>
          <w:sz w:val="24"/>
          <w:szCs w:val="24"/>
          <w:lang w:val="az-Latn-AZ"/>
        </w:rPr>
        <w:t>və yalnız 50.7 (a) paraqrafında təsvir edilmiş metod tətbiq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Dəqiq Proqnozlaşdırma Müddəti</w:t>
      </w:r>
    </w:p>
    <w:p w:rsidR="00D02DD9" w:rsidRPr="009C2EF2" w:rsidRDefault="0075026C">
      <w:pPr>
        <w:pStyle w:val="a3"/>
        <w:numPr>
          <w:ilvl w:val="1"/>
          <w:numId w:val="74"/>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77856" behindDoc="0" locked="0" layoutInCell="0" allowOverlap="1">
                <wp:simplePos x="0" y="0"/>
                <wp:positionH relativeFrom="page">
                  <wp:posOffset>5276215</wp:posOffset>
                </wp:positionH>
                <wp:positionV relativeFrom="paragraph">
                  <wp:posOffset>494665</wp:posOffset>
                </wp:positionV>
                <wp:extent cx="152400" cy="4004945"/>
                <wp:effectExtent l="0" t="0" r="0" b="0"/>
                <wp:wrapNone/>
                <wp:docPr id="17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8" type="#_x0000_t202" style="position:absolute;left:0;text-align:left;margin-left:415.45pt;margin-top:38.95pt;width:12pt;height:315.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M7rQ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Meyar seçimi </w:t>
      </w:r>
      <w:r w:rsidR="003C64E0" w:rsidRPr="009C2EF2">
        <w:rPr>
          <w:rFonts w:ascii="Times New Roman" w:hAnsi="Times New Roman"/>
          <w:i/>
          <w:color w:val="231F20"/>
          <w:spacing w:val="1"/>
          <w:sz w:val="24"/>
          <w:szCs w:val="24"/>
          <w:lang w:val="az-Latn-AZ"/>
        </w:rPr>
        <w:t>qiymət</w:t>
      </w:r>
      <w:r w:rsidR="000B31C1" w:rsidRPr="009C2EF2">
        <w:rPr>
          <w:rFonts w:ascii="Times New Roman" w:hAnsi="Times New Roman"/>
          <w:i/>
          <w:color w:val="231F20"/>
          <w:spacing w:val="1"/>
          <w:sz w:val="24"/>
          <w:szCs w:val="24"/>
          <w:lang w:val="az-Latn-AZ"/>
        </w:rPr>
        <w:t>l</w:t>
      </w:r>
      <w:r w:rsidR="003C64E0" w:rsidRPr="009C2EF2">
        <w:rPr>
          <w:rFonts w:ascii="Times New Roman" w:hAnsi="Times New Roman"/>
          <w:i/>
          <w:color w:val="231F20"/>
          <w:spacing w:val="1"/>
          <w:sz w:val="24"/>
          <w:szCs w:val="24"/>
          <w:lang w:val="az-Latn-AZ"/>
        </w:rPr>
        <w:t>əndirmə məqsədindən</w:t>
      </w:r>
      <w:r w:rsidR="003C64E0" w:rsidRPr="009C2EF2">
        <w:rPr>
          <w:rFonts w:ascii="Times New Roman" w:hAnsi="Times New Roman"/>
          <w:color w:val="231F20"/>
          <w:sz w:val="24"/>
          <w:szCs w:val="24"/>
          <w:lang w:val="az-Latn-AZ"/>
        </w:rPr>
        <w:t xml:space="preserve">, </w:t>
      </w:r>
      <w:r w:rsidR="003C64E0" w:rsidRPr="009C2EF2">
        <w:rPr>
          <w:rFonts w:ascii="Times New Roman" w:hAnsi="Times New Roman"/>
          <w:i/>
          <w:color w:val="231F20"/>
          <w:spacing w:val="-1"/>
          <w:sz w:val="24"/>
          <w:szCs w:val="24"/>
          <w:lang w:val="az-Latn-AZ"/>
        </w:rPr>
        <w:t xml:space="preserve">aktivin </w:t>
      </w:r>
      <w:r w:rsidR="003C64E0" w:rsidRPr="009C2EF2">
        <w:rPr>
          <w:rFonts w:ascii="Times New Roman" w:hAnsi="Times New Roman"/>
          <w:color w:val="231F20"/>
          <w:sz w:val="24"/>
          <w:szCs w:val="24"/>
          <w:lang w:val="az-Latn-AZ"/>
        </w:rPr>
        <w:t xml:space="preserve">təbiətindən, mövcud məlumatlardan və tələb olunan dəyər bazalarından asılı olacaq. Qısa müddətli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üzrə pul axınlarının proqnozlaşdırılmasının mümkünlüyü daha çox ehtimal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681"/>
        </w:tabs>
        <w:kinsoku w:val="0"/>
        <w:overflowPunct w:val="0"/>
        <w:spacing w:line="250" w:lineRule="auto"/>
        <w:ind w:left="680" w:right="139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Dəqiq proqnozlaşdırma müddətini müəyyənləşdirərkən qiymətləndirici aşağıdakı amilləri nəzərə </w:t>
      </w:r>
      <w:r w:rsidRPr="009C2EF2">
        <w:rPr>
          <w:rFonts w:ascii="Times New Roman" w:hAnsi="Times New Roman"/>
          <w:i/>
          <w:color w:val="231F20"/>
          <w:spacing w:val="-1"/>
          <w:sz w:val="24"/>
          <w:szCs w:val="24"/>
          <w:lang w:val="az-Latn-AZ"/>
        </w:rPr>
        <w:t>almalıdır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müddəti,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spacing w:line="250" w:lineRule="auto"/>
        <w:ind w:left="964" w:right="1101"/>
        <w:rPr>
          <w:rFonts w:ascii="Times New Roman" w:hAnsi="Times New Roman"/>
          <w:color w:val="000000"/>
          <w:sz w:val="24"/>
          <w:szCs w:val="24"/>
          <w:lang w:val="az-Latn-AZ"/>
        </w:rPr>
      </w:pPr>
      <w:r w:rsidRPr="009C2EF2">
        <w:rPr>
          <w:rFonts w:ascii="Times New Roman" w:hAnsi="Times New Roman"/>
          <w:color w:val="231F20"/>
          <w:sz w:val="24"/>
          <w:szCs w:val="24"/>
          <w:lang w:val="az-Latn-AZ"/>
        </w:rPr>
        <w:t>proqnozların əsaslandırılmasına dair etibarlı məlumatların verilməsi üçün uyğun müddət,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74"/>
        </w:numPr>
        <w:tabs>
          <w:tab w:val="left" w:pos="965"/>
        </w:tabs>
        <w:kinsoku w:val="0"/>
        <w:overflowPunct w:val="0"/>
        <w:spacing w:before="9"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dəyər tətbiq olunduqdan sonra artım və gəlir səviyyəsinin stabilləşdirilməsi üçün </w:t>
      </w:r>
      <w:r w:rsidRPr="009C2EF2">
        <w:rPr>
          <w:rFonts w:ascii="Times New Roman" w:hAnsi="Times New Roman"/>
          <w:i/>
          <w:color w:val="231F20"/>
          <w:spacing w:val="1"/>
          <w:sz w:val="24"/>
          <w:szCs w:val="24"/>
          <w:lang w:val="az-Latn-AZ"/>
        </w:rPr>
        <w:t>aktivə</w:t>
      </w:r>
      <w:r w:rsidR="000B31C1" w:rsidRPr="009C2EF2">
        <w:rPr>
          <w:rFonts w:ascii="Times New Roman" w:hAnsi="Times New Roman"/>
          <w:i/>
          <w:color w:val="231F20"/>
          <w:spacing w:val="1"/>
          <w:sz w:val="24"/>
          <w:szCs w:val="24"/>
          <w:lang w:val="az-Latn-AZ"/>
        </w:rPr>
        <w:t xml:space="preserve"> </w:t>
      </w:r>
      <w:r w:rsidRPr="009C2EF2">
        <w:rPr>
          <w:rFonts w:ascii="Times New Roman" w:hAnsi="Times New Roman"/>
          <w:i/>
          <w:color w:val="231F20"/>
          <w:sz w:val="24"/>
          <w:szCs w:val="24"/>
          <w:lang w:val="az-Latn-AZ"/>
        </w:rPr>
        <w:t>kifayət edəcək</w:t>
      </w:r>
      <w:r w:rsidRPr="009C2EF2">
        <w:rPr>
          <w:rFonts w:ascii="Times New Roman" w:hAnsi="Times New Roman"/>
          <w:color w:val="231F20"/>
          <w:sz w:val="24"/>
          <w:szCs w:val="24"/>
          <w:lang w:val="az-Latn-AZ"/>
        </w:rPr>
        <w:t xml:space="preserve"> minimum proqnozlaşdırma müddəti,</w:t>
      </w:r>
    </w:p>
    <w:p w:rsidR="00D02DD9" w:rsidRPr="009C2EF2" w:rsidRDefault="00D02DD9">
      <w:pPr>
        <w:pStyle w:val="a3"/>
        <w:kinsoku w:val="0"/>
        <w:overflowPunct w:val="0"/>
        <w:spacing w:before="9"/>
        <w:ind w:left="0"/>
        <w:rPr>
          <w:rFonts w:ascii="Times New Roman" w:hAnsi="Times New Roman"/>
          <w:sz w:val="24"/>
          <w:szCs w:val="24"/>
          <w:lang w:val="az-Latn-AZ"/>
        </w:rPr>
      </w:pPr>
    </w:p>
    <w:p w:rsidR="000B31C1" w:rsidRPr="009C2EF2" w:rsidRDefault="003C64E0" w:rsidP="00A51157">
      <w:pPr>
        <w:pStyle w:val="a3"/>
        <w:numPr>
          <w:ilvl w:val="2"/>
          <w:numId w:val="74"/>
        </w:numPr>
        <w:tabs>
          <w:tab w:val="left" w:pos="965"/>
        </w:tabs>
        <w:kinsoku w:val="0"/>
        <w:overflowPunct w:val="0"/>
        <w:spacing w:before="9"/>
        <w:ind w:left="964" w:right="540"/>
        <w:rPr>
          <w:rFonts w:ascii="Times New Roman" w:hAnsi="Times New Roman"/>
          <w:color w:val="231F20"/>
          <w:sz w:val="24"/>
          <w:szCs w:val="24"/>
          <w:lang w:val="az-Latn-AZ"/>
        </w:rPr>
      </w:pPr>
      <w:r w:rsidRPr="009C2EF2">
        <w:rPr>
          <w:rFonts w:ascii="Times New Roman" w:hAnsi="Times New Roman"/>
          <w:color w:val="231F20"/>
          <w:sz w:val="24"/>
          <w:szCs w:val="24"/>
          <w:lang w:val="az-Latn-AZ"/>
        </w:rPr>
        <w:t xml:space="preserve">dövri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 xml:space="preserve">qiymətləndirilməsi zamanı proqnozlaşdıma müddətinə ümumilikdə tam tsiklin daxil </w:t>
      </w:r>
      <w:r w:rsidRPr="009C2EF2">
        <w:rPr>
          <w:rFonts w:ascii="Times New Roman" w:hAnsi="Times New Roman"/>
          <w:i/>
          <w:color w:val="231F20"/>
          <w:spacing w:val="1"/>
          <w:sz w:val="24"/>
          <w:szCs w:val="24"/>
          <w:lang w:val="az-Latn-AZ"/>
        </w:rPr>
        <w:t>edildiyi</w:t>
      </w:r>
      <w:r w:rsidR="000B31C1"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 xml:space="preserve">halda, əksər maliyyə alətləri kimi </w:t>
      </w:r>
    </w:p>
    <w:p w:rsidR="00D02DD9" w:rsidRPr="009C2EF2" w:rsidRDefault="003C64E0" w:rsidP="000B31C1">
      <w:pPr>
        <w:pStyle w:val="a3"/>
        <w:tabs>
          <w:tab w:val="left" w:pos="965"/>
        </w:tabs>
        <w:kinsoku w:val="0"/>
        <w:overflowPunct w:val="0"/>
        <w:spacing w:before="9"/>
        <w:ind w:left="964" w:right="540"/>
        <w:rPr>
          <w:rFonts w:ascii="Times New Roman" w:hAnsi="Times New Roman"/>
          <w:color w:val="000000"/>
          <w:sz w:val="24"/>
          <w:szCs w:val="24"/>
          <w:lang w:val="az-Latn-AZ"/>
        </w:rPr>
      </w:pPr>
      <w:r w:rsidRPr="009C2EF2">
        <w:rPr>
          <w:rFonts w:ascii="Times New Roman" w:hAnsi="Times New Roman"/>
          <w:color w:val="231F20"/>
          <w:sz w:val="24"/>
          <w:szCs w:val="24"/>
          <w:lang w:val="az-Latn-AZ"/>
        </w:rPr>
        <w:t>məhdud-istifadə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müddətli </w:t>
      </w:r>
      <w:r w:rsidRPr="009C2EF2">
        <w:rPr>
          <w:rFonts w:ascii="Times New Roman" w:hAnsi="Times New Roman"/>
          <w:i/>
          <w:color w:val="231F20"/>
          <w:sz w:val="24"/>
          <w:szCs w:val="24"/>
          <w:lang w:val="az-Latn-AZ"/>
        </w:rPr>
        <w:t xml:space="preserve">aktivlərdə </w:t>
      </w:r>
      <w:r w:rsidRPr="009C2EF2">
        <w:rPr>
          <w:rFonts w:ascii="Times New Roman" w:hAnsi="Times New Roman"/>
          <w:color w:val="231F20"/>
          <w:sz w:val="24"/>
          <w:szCs w:val="24"/>
          <w:lang w:val="az-Latn-AZ"/>
        </w:rPr>
        <w:t xml:space="preserve">isə pul axını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 xml:space="preserve">mövcud olduğu bütün müddət üzrə proqnozlaşdırılmalıdır.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hallarda, xüsusilə də,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qiymətləndirmə tarixində sabit artım və gəlir səviyyəsinə nail olduğu hallarda proqnoz </w:t>
      </w:r>
      <w:r w:rsidRPr="009C2EF2">
        <w:rPr>
          <w:rFonts w:ascii="Times New Roman" w:hAnsi="Times New Roman"/>
          <w:color w:val="231F20"/>
          <w:sz w:val="24"/>
          <w:szCs w:val="24"/>
          <w:lang w:val="az-Latn-AZ"/>
        </w:rPr>
        <w:lastRenderedPageBreak/>
        <w:t xml:space="preserve">müddəti nəzərə alınmaya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 xml:space="preserve">və qalıq dəyər yalnız dəyər bazasını formalaşdıra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(bu metoda gəlirin kapitallaşdırılması metodu kimi də istinad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Proqnozlaşdırma müddətində yalnız investor üçün nəzərdə tutulmuş sahibkarlıq hüququnun müddəti nəzərə </w:t>
      </w:r>
      <w:r w:rsidRPr="009C2EF2">
        <w:rPr>
          <w:rFonts w:ascii="Times New Roman" w:hAnsi="Times New Roman"/>
          <w:i/>
          <w:color w:val="231F20"/>
          <w:spacing w:val="1"/>
          <w:sz w:val="24"/>
          <w:szCs w:val="24"/>
          <w:lang w:val="az-Latn-AZ"/>
        </w:rPr>
        <w:t xml:space="preserve">alınmamalıdır </w:t>
      </w:r>
      <w:r w:rsidRPr="009C2EF2">
        <w:rPr>
          <w:rFonts w:ascii="Times New Roman" w:hAnsi="Times New Roman"/>
          <w:color w:val="231F20"/>
          <w:sz w:val="24"/>
          <w:szCs w:val="24"/>
          <w:lang w:val="az-Latn-AZ"/>
        </w:rPr>
        <w:t xml:space="preserve">və həmin müddət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dəyərinə təsir </w:t>
      </w:r>
      <w:r w:rsidRPr="009C2EF2">
        <w:rPr>
          <w:rFonts w:ascii="Times New Roman" w:hAnsi="Times New Roman"/>
          <w:i/>
          <w:color w:val="231F20"/>
          <w:spacing w:val="1"/>
          <w:sz w:val="24"/>
          <w:szCs w:val="24"/>
          <w:lang w:val="az-Latn-AZ"/>
        </w:rPr>
        <w:t>etməməlidir</w:t>
      </w:r>
      <w:r w:rsidRPr="009C2EF2">
        <w:rPr>
          <w:rFonts w:ascii="Times New Roman" w:hAnsi="Times New Roman"/>
          <w:color w:val="231F20"/>
          <w:sz w:val="24"/>
          <w:szCs w:val="24"/>
          <w:lang w:val="az-Latn-AZ"/>
        </w:rPr>
        <w:t xml:space="preserve">.  Lakin, qiymətləndirmənin məqsədi onun investisiya dəyərinin müəyyənləşdirilməsi olduğu təqdirdə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üzərində sahibkarlıq hüququnun müddəti proqnozlaşdırma müddətinin müəyyənləşdirilməsi zamanı nəzərə alına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Pul Axını Proqnozları</w:t>
      </w:r>
    </w:p>
    <w:p w:rsidR="00D02DD9" w:rsidRPr="009C2EF2" w:rsidRDefault="003C64E0">
      <w:pPr>
        <w:pStyle w:val="a3"/>
        <w:numPr>
          <w:ilvl w:val="1"/>
          <w:numId w:val="74"/>
        </w:numPr>
        <w:tabs>
          <w:tab w:val="left" w:pos="681"/>
        </w:tabs>
        <w:kinsoku w:val="0"/>
        <w:overflowPunct w:val="0"/>
        <w:spacing w:before="122" w:line="250" w:lineRule="auto"/>
        <w:ind w:left="680" w:right="1630"/>
        <w:rPr>
          <w:rFonts w:ascii="Times New Roman" w:hAnsi="Times New Roman"/>
          <w:color w:val="000000"/>
          <w:sz w:val="24"/>
          <w:szCs w:val="24"/>
          <w:lang w:val="az-Latn-AZ"/>
        </w:rPr>
      </w:pPr>
      <w:r w:rsidRPr="009C2EF2">
        <w:rPr>
          <w:rFonts w:ascii="Times New Roman" w:hAnsi="Times New Roman"/>
          <w:color w:val="231F20"/>
          <w:sz w:val="24"/>
          <w:szCs w:val="24"/>
          <w:lang w:val="az-Latn-AZ"/>
        </w:rPr>
        <w:t>Proqnozlaşdırma müddəti üzrə pul axını proqnozlaşdırılan maliyyə məlumatlarından (PFI) (proqnozlaşdırılan gəlir/mədaxillər və xərclər/məxariclər) istifadə etməklə hazırlanır.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50.12 bəndində qeyd olunduğu kimi, PFI-nin mənbəyindən asılı olmayaraq,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PFI-nin, PFI əsasında verilmiş proqnozların və</w:t>
      </w:r>
    </w:p>
    <w:p w:rsidR="00D02DD9" w:rsidRPr="009C2EF2" w:rsidRDefault="003C64E0">
      <w:pPr>
        <w:pStyle w:val="a3"/>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onların </w:t>
      </w:r>
      <w:r w:rsidRPr="009C2EF2">
        <w:rPr>
          <w:rFonts w:ascii="Times New Roman" w:hAnsi="Times New Roman"/>
          <w:i/>
          <w:color w:val="231F20"/>
          <w:sz w:val="24"/>
          <w:szCs w:val="24"/>
          <w:lang w:val="az-Latn-AZ"/>
        </w:rPr>
        <w:t>qiymətləndirmə məqsədinə</w:t>
      </w:r>
      <w:r w:rsidRPr="009C2EF2">
        <w:rPr>
          <w:rFonts w:ascii="Times New Roman" w:hAnsi="Times New Roman"/>
          <w:color w:val="231F20"/>
          <w:sz w:val="24"/>
          <w:szCs w:val="24"/>
          <w:lang w:val="az-Latn-AZ"/>
        </w:rPr>
        <w:t xml:space="preserve"> uyğunluğunun öyrənilməsi üçün təhlillər aparmalıdır. PFI-nin və PFI əsasında verilmiş proqnozların uyğunluğu </w:t>
      </w:r>
      <w:r w:rsidRPr="009C2EF2">
        <w:rPr>
          <w:rFonts w:ascii="Times New Roman" w:hAnsi="Times New Roman"/>
          <w:i/>
          <w:color w:val="231F20"/>
          <w:spacing w:val="1"/>
          <w:sz w:val="24"/>
          <w:szCs w:val="24"/>
          <w:lang w:val="az-Latn-AZ"/>
        </w:rPr>
        <w:t>qiymətləndirmə məqsədindən</w:t>
      </w:r>
      <w:r w:rsidRPr="009C2EF2">
        <w:rPr>
          <w:rFonts w:ascii="Times New Roman" w:hAnsi="Times New Roman"/>
          <w:color w:val="231F20"/>
          <w:sz w:val="24"/>
          <w:szCs w:val="24"/>
          <w:lang w:val="az-Latn-AZ"/>
        </w:rPr>
        <w:t xml:space="preserve"> və tələb olunan dəyər bazalarından asılı olacaq. Məsələn, bazar dəyərinin müəyyənləşdirilməsi üçün tətbiq olunmuş pul axınında </w:t>
      </w:r>
      <w:r w:rsidRPr="009C2EF2">
        <w:rPr>
          <w:rFonts w:ascii="Times New Roman" w:hAnsi="Times New Roman"/>
          <w:i/>
          <w:color w:val="231F20"/>
          <w:spacing w:val="1"/>
          <w:sz w:val="24"/>
          <w:szCs w:val="24"/>
          <w:lang w:val="az-Latn-AZ"/>
        </w:rPr>
        <w:t>iştirakçıların</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kinsoku w:val="0"/>
        <w:overflowPunct w:val="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39</w:t>
      </w:r>
    </w:p>
    <w:p w:rsidR="00D02DD9" w:rsidRPr="009C2EF2" w:rsidRDefault="00D02DD9">
      <w:pPr>
        <w:pStyle w:val="a3"/>
        <w:kinsoku w:val="0"/>
        <w:overflowPunct w:val="0"/>
        <w:ind w:left="2878" w:right="3723"/>
        <w:jc w:val="center"/>
        <w:rPr>
          <w:rFonts w:ascii="Times New Roman" w:hAnsi="Times New Roman"/>
          <w:color w:val="000000"/>
          <w:sz w:val="24"/>
          <w:szCs w:val="24"/>
          <w:lang w:val="az-Latn-AZ"/>
        </w:rPr>
        <w:sectPr w:rsidR="00D02DD9" w:rsidRPr="009C2EF2">
          <w:footerReference w:type="default" r:id="rId4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7664" behindDoc="1" locked="0" layoutInCell="0" allowOverlap="1">
                <wp:simplePos x="0" y="0"/>
                <wp:positionH relativeFrom="page">
                  <wp:posOffset>0</wp:posOffset>
                </wp:positionH>
                <wp:positionV relativeFrom="page">
                  <wp:posOffset>0</wp:posOffset>
                </wp:positionV>
                <wp:extent cx="432435" cy="8424545"/>
                <wp:effectExtent l="0" t="0" r="0" b="0"/>
                <wp:wrapNone/>
                <wp:docPr id="17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8197DB" id="Freeform 99" o:spid="_x0000_s1026" style="position:absolute;margin-left:0;margin-top:0;width:34.05pt;height:663.3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750Vs2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proqnozlaşdırdığı PFI əks </w:t>
      </w:r>
      <w:r w:rsidRPr="009C2EF2">
        <w:rPr>
          <w:rFonts w:ascii="Times New Roman" w:hAnsi="Times New Roman"/>
          <w:i/>
          <w:color w:val="231F20"/>
          <w:sz w:val="24"/>
          <w:szCs w:val="24"/>
          <w:lang w:val="az-Latn-AZ"/>
        </w:rPr>
        <w:t>olunmalıdır</w:t>
      </w:r>
      <w:r w:rsidRPr="009C2EF2">
        <w:rPr>
          <w:rFonts w:ascii="Times New Roman" w:hAnsi="Times New Roman"/>
          <w:color w:val="231F20"/>
          <w:spacing w:val="-1"/>
          <w:sz w:val="24"/>
          <w:szCs w:val="24"/>
          <w:lang w:val="az-Latn-AZ"/>
        </w:rPr>
        <w:t>; əks təqdirdə investisiya dəyəri investorun marağına uyğun hesab olunan proqnozlara əsaslanan pul axınından istifadə edərək qiymətləndirilə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Pul axını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təbiətindən, pul axınının növündən, mövcud məlumatdan və proqnozlaşdırma müddətinin u</w:t>
      </w:r>
      <w:r w:rsidR="000B31C1" w:rsidRPr="009C2EF2">
        <w:rPr>
          <w:rFonts w:ascii="Times New Roman" w:hAnsi="Times New Roman"/>
          <w:color w:val="231F20"/>
          <w:sz w:val="24"/>
          <w:szCs w:val="24"/>
          <w:lang w:val="az-Latn-AZ"/>
        </w:rPr>
        <w:t>zunluğundan asılı olaraq müvafi</w:t>
      </w:r>
      <w:r w:rsidRPr="009C2EF2">
        <w:rPr>
          <w:rFonts w:ascii="Times New Roman" w:hAnsi="Times New Roman"/>
          <w:color w:val="231F20"/>
          <w:sz w:val="24"/>
          <w:szCs w:val="24"/>
          <w:lang w:val="az-Latn-AZ"/>
        </w:rPr>
        <w:t>q intervallara (məsələn, həftəlik, aylıq, rüblük və ya illik) bölünür.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Proqnozlaşdırılmış pul axınında qiymətləndirilən </w:t>
      </w:r>
      <w:r w:rsidRPr="009C2EF2">
        <w:rPr>
          <w:rFonts w:ascii="Times New Roman" w:hAnsi="Times New Roman"/>
          <w:i/>
          <w:color w:val="231F20"/>
          <w:sz w:val="24"/>
          <w:szCs w:val="24"/>
          <w:lang w:val="az-Latn-AZ"/>
        </w:rPr>
        <w:t xml:space="preserve">aktivlə </w:t>
      </w:r>
      <w:r w:rsidR="001F22AE" w:rsidRPr="009C2EF2">
        <w:rPr>
          <w:rFonts w:ascii="Times New Roman" w:hAnsi="Times New Roman"/>
          <w:color w:val="231F20"/>
          <w:sz w:val="24"/>
          <w:szCs w:val="24"/>
          <w:lang w:val="az-Latn-AZ"/>
        </w:rPr>
        <w:t>bağlı gələcək mədaxil və mə</w:t>
      </w:r>
      <w:r w:rsidRPr="009C2EF2">
        <w:rPr>
          <w:rFonts w:ascii="Times New Roman" w:hAnsi="Times New Roman"/>
          <w:color w:val="231F20"/>
          <w:sz w:val="24"/>
          <w:szCs w:val="24"/>
          <w:lang w:val="az-Latn-AZ"/>
        </w:rPr>
        <w:t xml:space="preserve">xariclərinin məbləği və müddəti dəyər bazasına uyğun perspektivdən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74"/>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8880" behindDoc="0" locked="0" layoutInCell="0" allowOverlap="1">
                <wp:simplePos x="0" y="0"/>
                <wp:positionH relativeFrom="page">
                  <wp:posOffset>151130</wp:posOffset>
                </wp:positionH>
                <wp:positionV relativeFrom="paragraph">
                  <wp:posOffset>-3175</wp:posOffset>
                </wp:positionV>
                <wp:extent cx="152400" cy="4004945"/>
                <wp:effectExtent l="0" t="0" r="0" b="0"/>
                <wp:wrapNone/>
                <wp:docPr id="1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9" type="#_x0000_t202" style="position:absolute;left:0;text-align:left;margin-left:11.9pt;margin-top:-.25pt;width:12pt;height:315.3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pacing w:val="-2"/>
          <w:sz w:val="24"/>
          <w:szCs w:val="24"/>
          <w:lang w:val="az-Latn-AZ"/>
        </w:rPr>
        <w:t>Proqnozlaşdırılmış pul axını aşağıdakılardan birini əks etdi</w:t>
      </w:r>
      <w:r w:rsidR="000B31C1" w:rsidRPr="009C2EF2">
        <w:rPr>
          <w:rFonts w:ascii="Times New Roman" w:hAnsi="Times New Roman"/>
          <w:color w:val="231F20"/>
          <w:spacing w:val="-2"/>
          <w:sz w:val="24"/>
          <w:szCs w:val="24"/>
          <w:lang w:val="az-Latn-AZ"/>
        </w:rPr>
        <w:t>r</w:t>
      </w:r>
      <w:r w:rsidR="003C64E0" w:rsidRPr="009C2EF2">
        <w:rPr>
          <w:rFonts w:ascii="Times New Roman" w:hAnsi="Times New Roman"/>
          <w:color w:val="231F20"/>
          <w:spacing w:val="-2"/>
          <w:sz w:val="24"/>
          <w:szCs w:val="24"/>
          <w:lang w:val="az-Latn-AZ"/>
        </w:rPr>
        <w:t>məlidir: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müqavilə əsasında müəyyənləşdirilmiş və ya vəd edilmiş pul axınları,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ən çox ehtimal olunan vahid pul axını,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ehtimal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z w:val="24"/>
          <w:szCs w:val="24"/>
          <w:lang w:val="az-Latn-AZ"/>
        </w:rPr>
        <w:t>gözlənilən pul axını və ya</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potensial gələcək pul axınının çoxsaylı planları.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Pul axınının növləri, adətən, müxtəlif risk səviyyələrini əks etdirir və onlar müxtəlif diskont faiz dərəcələrini tələb edə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Məsələn, ehtimal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pacing w:val="1"/>
          <w:sz w:val="24"/>
          <w:szCs w:val="24"/>
          <w:lang w:val="az-Latn-AZ"/>
        </w:rPr>
        <w:t>gözlənilən pul axını bütün mümkün nəticələrlə bağlı gözləntiləri birləşdirir</w:t>
      </w:r>
    </w:p>
    <w:p w:rsidR="00D02DD9" w:rsidRPr="009C2EF2" w:rsidRDefault="003C64E0" w:rsidP="000B31C1">
      <w:pPr>
        <w:pStyle w:val="a3"/>
        <w:kinsoku w:val="0"/>
        <w:overflowPunct w:val="0"/>
        <w:spacing w:line="250" w:lineRule="auto"/>
        <w:ind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və onlar xüsusi şərt və şəraitlərdən asılı olmurlar (qeyd edək ki, ehtimal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z w:val="24"/>
          <w:szCs w:val="24"/>
          <w:lang w:val="az-Latn-AZ"/>
        </w:rPr>
        <w:t xml:space="preserve">gözlənilən pul axını tətbiq olunduğu zaman </w:t>
      </w:r>
      <w:r w:rsidRPr="009C2EF2">
        <w:rPr>
          <w:rFonts w:ascii="Times New Roman" w:hAnsi="Times New Roman"/>
          <w:i/>
          <w:color w:val="231F20"/>
          <w:sz w:val="24"/>
          <w:szCs w:val="24"/>
          <w:lang w:val="az-Latn-AZ"/>
        </w:rPr>
        <w:t xml:space="preserve">qiymətləndiricilərdən </w:t>
      </w:r>
      <w:r w:rsidRPr="009C2EF2">
        <w:rPr>
          <w:rFonts w:ascii="Times New Roman" w:hAnsi="Times New Roman"/>
          <w:color w:val="231F20"/>
          <w:sz w:val="24"/>
          <w:szCs w:val="24"/>
          <w:lang w:val="az-Latn-AZ"/>
        </w:rPr>
        <w:t xml:space="preserve">qarışıq model və texnikalardan istifadə etməklə mümkün pul axınlarının bölüşdürülməsini nəzərə almaq həmişə tələb olunmur. Əksinə,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potensial pul axınlarının spektrini əhatə edən bir neçə plan və ehtimal</w:t>
      </w:r>
      <w:r w:rsidR="000B31C1" w:rsidRPr="009C2EF2">
        <w:rPr>
          <w:rFonts w:ascii="Times New Roman" w:hAnsi="Times New Roman"/>
          <w:color w:val="231F20"/>
          <w:sz w:val="24"/>
          <w:szCs w:val="24"/>
          <w:lang w:val="az-Latn-AZ"/>
        </w:rPr>
        <w:t>l</w:t>
      </w:r>
      <w:r w:rsidRPr="009C2EF2">
        <w:rPr>
          <w:rFonts w:ascii="Times New Roman" w:hAnsi="Times New Roman"/>
          <w:color w:val="231F20"/>
          <w:sz w:val="24"/>
          <w:szCs w:val="24"/>
          <w:lang w:val="az-Latn-AZ"/>
        </w:rPr>
        <w:t xml:space="preserve">ar hazırlaya/yarada bilərlər).  Ən çox ehtimal olunan vahid pul axını gələcək şərtlərdən asılı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odur ki, bu</w:t>
      </w:r>
      <w:r w:rsidR="000B31C1"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pul axını müxtəlif riskləri əks etdirə və fərqli diskont faiz dərəcəsini yarada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584"/>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hesabat dövrünün gəlir və xərclərini əks etdirən PFI-ni qəbul etdiyi halda qiymətlədirmə bazası kimi ümumilikdə </w:t>
      </w: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z w:val="24"/>
          <w:szCs w:val="24"/>
          <w:lang w:val="az-Latn-AZ"/>
        </w:rPr>
        <w:t xml:space="preserve">proqnozlaşdırdığı pul axınlarından istifadə olunur. Məsələn, pul axını hesablanarkən qiymətdən düşmə və amortizasiya kimi hesabat dövrünün nağdsız xərcləri yenidən əlavə </w:t>
      </w:r>
      <w:r w:rsidRPr="009C2EF2">
        <w:rPr>
          <w:rFonts w:ascii="Times New Roman" w:hAnsi="Times New Roman"/>
          <w:i/>
          <w:color w:val="231F20"/>
          <w:spacing w:val="1"/>
          <w:sz w:val="24"/>
          <w:szCs w:val="24"/>
          <w:lang w:val="az-Latn-AZ"/>
        </w:rPr>
        <w:t xml:space="preserve">edilməli </w:t>
      </w:r>
      <w:r w:rsidRPr="009C2EF2">
        <w:rPr>
          <w:rFonts w:ascii="Times New Roman" w:hAnsi="Times New Roman"/>
          <w:color w:val="231F20"/>
          <w:sz w:val="24"/>
          <w:szCs w:val="24"/>
          <w:lang w:val="az-Latn-AZ"/>
        </w:rPr>
        <w:t xml:space="preserve">və dövriyyə kapitalındakı dəyişikliklər və ya kapital xərclər ilə bağlı gözlənilən pul çıxışları </w:t>
      </w:r>
      <w:r w:rsidRPr="009C2EF2">
        <w:rPr>
          <w:rFonts w:ascii="Times New Roman" w:hAnsi="Times New Roman"/>
          <w:i/>
          <w:color w:val="231F20"/>
          <w:spacing w:val="1"/>
          <w:sz w:val="24"/>
          <w:szCs w:val="24"/>
          <w:lang w:val="az-Latn-AZ"/>
        </w:rPr>
        <w:t>çıxılmalıdır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 </w:t>
      </w:r>
      <w:r w:rsidRPr="009C2EF2">
        <w:rPr>
          <w:rFonts w:ascii="Times New Roman" w:hAnsi="Times New Roman"/>
          <w:color w:val="231F20"/>
          <w:sz w:val="24"/>
          <w:szCs w:val="24"/>
          <w:lang w:val="az-Latn-AZ"/>
        </w:rPr>
        <w:t>mövsümiliyin və dövriliyin pul axını proqnozlarında düzgün qiymətləndirildiyini təmin etməlidirlər.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1F22AE">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T</w:t>
      </w:r>
      <w:r w:rsidR="003C64E0" w:rsidRPr="009C2EF2">
        <w:rPr>
          <w:rFonts w:ascii="Times New Roman" w:hAnsi="Times New Roman"/>
          <w:color w:val="231F20"/>
          <w:spacing w:val="-1"/>
          <w:sz w:val="24"/>
          <w:szCs w:val="24"/>
          <w:lang w:val="az-Latn-AZ"/>
        </w:rPr>
        <w:t>erminal dəyər</w:t>
      </w:r>
    </w:p>
    <w:p w:rsidR="00D02DD9" w:rsidRPr="009C2EF2" w:rsidRDefault="003C64E0">
      <w:pPr>
        <w:pStyle w:val="a3"/>
        <w:numPr>
          <w:ilvl w:val="1"/>
          <w:numId w:val="74"/>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proqnozlaşdırma müddətini aşacağı gözlənilərsə</w:t>
      </w:r>
      <w:r w:rsidRPr="009C2EF2">
        <w:rPr>
          <w:rFonts w:ascii="Times New Roman" w:hAnsi="Times New Roman"/>
          <w:i/>
          <w:color w:val="231F20"/>
          <w:sz w:val="24"/>
          <w:szCs w:val="24"/>
          <w:lang w:val="az-Latn-AZ"/>
        </w:rPr>
        <w:t xml:space="preserve">qiymətləndiricilər  aktivin </w:t>
      </w:r>
      <w:r w:rsidRPr="009C2EF2">
        <w:rPr>
          <w:rFonts w:ascii="Times New Roman" w:hAnsi="Times New Roman"/>
          <w:color w:val="231F20"/>
          <w:spacing w:val="1"/>
          <w:sz w:val="24"/>
          <w:szCs w:val="24"/>
          <w:lang w:val="az-Latn-AZ"/>
        </w:rPr>
        <w:t>dəyərini həmin müddətin sonunda hesablamalıdırlar. Qalıq dəyər daha sonra proqnozlaşdırılmış pul axınına tətbiq edilmiş diskont faiz dərəcəsi qədərində qiymətləndirmə tarixinə geri diskontlaşdırılır.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dəyərdə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25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tə</w:t>
      </w:r>
      <w:r w:rsidR="000B31C1" w:rsidRPr="009C2EF2">
        <w:rPr>
          <w:rFonts w:ascii="Times New Roman" w:hAnsi="Times New Roman"/>
          <w:color w:val="231F20"/>
          <w:sz w:val="24"/>
          <w:szCs w:val="24"/>
          <w:lang w:val="az-Latn-AZ"/>
        </w:rPr>
        <w:t>t</w:t>
      </w:r>
      <w:r w:rsidRPr="009C2EF2">
        <w:rPr>
          <w:rFonts w:ascii="Times New Roman" w:hAnsi="Times New Roman"/>
          <w:color w:val="231F20"/>
          <w:sz w:val="24"/>
          <w:szCs w:val="24"/>
          <w:lang w:val="az-Latn-AZ"/>
        </w:rPr>
        <w:t>bi</w:t>
      </w:r>
      <w:r w:rsidR="000B31C1" w:rsidRPr="009C2EF2">
        <w:rPr>
          <w:rFonts w:ascii="Times New Roman" w:hAnsi="Times New Roman"/>
          <w:color w:val="231F20"/>
          <w:sz w:val="24"/>
          <w:szCs w:val="24"/>
          <w:lang w:val="az-Latn-AZ"/>
        </w:rPr>
        <w:t>q</w:t>
      </w:r>
      <w:r w:rsidRPr="009C2EF2">
        <w:rPr>
          <w:rFonts w:ascii="Times New Roman" w:hAnsi="Times New Roman"/>
          <w:color w:val="231F20"/>
          <w:sz w:val="24"/>
          <w:szCs w:val="24"/>
          <w:lang w:val="az-Latn-AZ"/>
        </w:rPr>
        <w:t>lərinə görə məhdud və ya qeyri-məhdud istifadə müddətli olmasını, çünki bu qalıq dəyərin hesablanması üçün tətbiq olunan metoda təsir edəcək,</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40</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4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8688" behindDoc="1" locked="0" layoutInCell="0" allowOverlap="1">
                <wp:simplePos x="0" y="0"/>
                <wp:positionH relativeFrom="page">
                  <wp:posOffset>5183505</wp:posOffset>
                </wp:positionH>
                <wp:positionV relativeFrom="page">
                  <wp:posOffset>0</wp:posOffset>
                </wp:positionV>
                <wp:extent cx="431800" cy="8423910"/>
                <wp:effectExtent l="0" t="0" r="0" b="0"/>
                <wp:wrapNone/>
                <wp:docPr id="16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6429BB" id="Freeform 101" o:spid="_x0000_s1026" style="position:absolute;margin-left:408.15pt;margin-top:0;width:34pt;height:663.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3zouangDAAB2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rsidP="001E366E">
      <w:pPr>
        <w:pStyle w:val="a3"/>
        <w:numPr>
          <w:ilvl w:val="2"/>
          <w:numId w:val="74"/>
        </w:numPr>
        <w:tabs>
          <w:tab w:val="left" w:pos="965"/>
        </w:tabs>
        <w:kinsoku w:val="0"/>
        <w:overflowPunct w:val="0"/>
        <w:spacing w:before="77" w:line="250" w:lineRule="auto"/>
        <w:ind w:left="964" w:right="1134"/>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aktivdə </w:t>
      </w:r>
      <w:r w:rsidRPr="009C2EF2">
        <w:rPr>
          <w:rFonts w:ascii="Times New Roman" w:hAnsi="Times New Roman"/>
          <w:color w:val="231F20"/>
          <w:sz w:val="24"/>
          <w:szCs w:val="24"/>
          <w:lang w:val="az-Latn-AZ"/>
        </w:rPr>
        <w:t>proqnozlaşdırma müddətini aşan potensial artımın olub-olmamasını,</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spacing w:line="250" w:lineRule="auto"/>
        <w:ind w:left="964" w:right="120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proqnozlaşdırma müddətinin sonunda qəbul olunması gözlənilən qabaqcadan müəyyən edilmiş əsas kapital məbləğinin olub-olmamasını,</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spacing w:line="250" w:lineRule="auto"/>
        <w:ind w:left="964" w:right="169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dəyərin hesabladığı vaxtda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gözlənilən risk səviyyəsini,</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spacing w:line="250" w:lineRule="auto"/>
        <w:ind w:left="964"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dövri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üzrə qalıq dəyərin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dövriliyini nəzərə </w:t>
      </w:r>
      <w:r w:rsidRPr="009C2EF2">
        <w:rPr>
          <w:rFonts w:ascii="Times New Roman" w:hAnsi="Times New Roman"/>
          <w:i/>
          <w:color w:val="231F20"/>
          <w:spacing w:val="1"/>
          <w:sz w:val="24"/>
          <w:szCs w:val="24"/>
          <w:lang w:val="az-Latn-AZ"/>
        </w:rPr>
        <w:t xml:space="preserve">almalı </w:t>
      </w:r>
      <w:r w:rsidRPr="009C2EF2">
        <w:rPr>
          <w:rFonts w:ascii="Times New Roman" w:hAnsi="Times New Roman"/>
          <w:color w:val="231F20"/>
          <w:sz w:val="24"/>
          <w:szCs w:val="24"/>
          <w:lang w:val="az-Latn-AZ"/>
        </w:rPr>
        <w:t xml:space="preserve">olduğu və qeyri-məhdud müddətdə pul axınlarının "yüksək" və ya "aşağı" səviyyələrini </w:t>
      </w:r>
      <w:r w:rsidRPr="009C2EF2">
        <w:rPr>
          <w:rFonts w:ascii="Times New Roman" w:hAnsi="Times New Roman"/>
          <w:i/>
          <w:color w:val="231F20"/>
          <w:spacing w:val="1"/>
          <w:sz w:val="24"/>
          <w:szCs w:val="24"/>
          <w:lang w:val="az-Latn-AZ"/>
        </w:rPr>
        <w:t>nəzərə almadan</w:t>
      </w:r>
      <w:r w:rsidRPr="009C2EF2">
        <w:rPr>
          <w:rFonts w:ascii="Times New Roman" w:hAnsi="Times New Roman"/>
          <w:color w:val="231F20"/>
          <w:sz w:val="24"/>
          <w:szCs w:val="24"/>
          <w:lang w:val="az-Latn-AZ"/>
        </w:rPr>
        <w:t xml:space="preserve"> ifadə edilməli olduğu şərtini və</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75026C" w:rsidP="001E366E">
      <w:pPr>
        <w:pStyle w:val="a3"/>
        <w:numPr>
          <w:ilvl w:val="2"/>
          <w:numId w:val="74"/>
        </w:numPr>
        <w:tabs>
          <w:tab w:val="left" w:pos="965"/>
        </w:tabs>
        <w:kinsoku w:val="0"/>
        <w:overflowPunct w:val="0"/>
        <w:spacing w:line="250" w:lineRule="auto"/>
        <w:ind w:left="964" w:right="1186"/>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79904" behindDoc="0" locked="0" layoutInCell="0" allowOverlap="1">
                <wp:simplePos x="0" y="0"/>
                <wp:positionH relativeFrom="page">
                  <wp:posOffset>5276215</wp:posOffset>
                </wp:positionH>
                <wp:positionV relativeFrom="paragraph">
                  <wp:posOffset>27940</wp:posOffset>
                </wp:positionV>
                <wp:extent cx="152400" cy="4004945"/>
                <wp:effectExtent l="0" t="0" r="0" b="0"/>
                <wp:wrapNone/>
                <wp:docPr id="1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0" type="#_x0000_t202" style="position:absolute;left:0;text-align:left;margin-left:415.45pt;margin-top:2.2pt;width:12pt;height:315.3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VErgIAALU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proqnozlaşdırma müddətinin sonunda </w:t>
      </w:r>
      <w:r w:rsidR="003C64E0" w:rsidRPr="009C2EF2">
        <w:rPr>
          <w:rFonts w:ascii="Times New Roman" w:hAnsi="Times New Roman"/>
          <w:i/>
          <w:color w:val="231F20"/>
          <w:sz w:val="24"/>
          <w:szCs w:val="24"/>
          <w:lang w:val="az-Latn-AZ"/>
        </w:rPr>
        <w:t xml:space="preserve">aktivə </w:t>
      </w:r>
      <w:r w:rsidR="003C64E0" w:rsidRPr="009C2EF2">
        <w:rPr>
          <w:rFonts w:ascii="Times New Roman" w:hAnsi="Times New Roman"/>
          <w:color w:val="231F20"/>
          <w:sz w:val="24"/>
          <w:szCs w:val="24"/>
          <w:lang w:val="az-Latn-AZ"/>
        </w:rPr>
        <w:t>xas vergi göstəricilərini (əgər varsa) və bu vergi göstəricilərinin qeyri-müəyyən müddətdə davam edib-etməyəcəyini.</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1"/>
          <w:numId w:val="74"/>
        </w:numPr>
        <w:tabs>
          <w:tab w:val="left" w:pos="681"/>
        </w:tabs>
        <w:kinsoku w:val="0"/>
        <w:overflowPunct w:val="0"/>
        <w:spacing w:line="250" w:lineRule="auto"/>
        <w:ind w:left="680" w:right="1057"/>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 </w:t>
      </w:r>
      <w:r w:rsidRPr="009C2EF2">
        <w:rPr>
          <w:rFonts w:ascii="Times New Roman" w:hAnsi="Times New Roman"/>
          <w:color w:val="231F20"/>
          <w:sz w:val="24"/>
          <w:szCs w:val="24"/>
          <w:lang w:val="az-Latn-AZ"/>
        </w:rPr>
        <w:t>qalıq dəyərin qiymətləndirilməsində hər hansı uyğun hesab edilən metoddan istifadə edə bilərlər. Qalıq dəyərin hesablanması üçün bir sıra yanaşmalardan istifadə olunur, lakin ən çox istifadə olunan üç metod aşağıdakılardır: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spacing w:line="250" w:lineRule="auto"/>
        <w:ind w:left="964" w:right="153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Qordon artım </w:t>
      </w:r>
      <w:r w:rsidR="001E366E" w:rsidRPr="009C2EF2">
        <w:rPr>
          <w:rFonts w:ascii="Times New Roman" w:hAnsi="Times New Roman"/>
          <w:color w:val="231F20"/>
          <w:spacing w:val="1"/>
          <w:sz w:val="24"/>
          <w:szCs w:val="24"/>
          <w:lang w:val="az-Latn-AZ"/>
        </w:rPr>
        <w:t>modeli/sabit artım modeli (bu mo</w:t>
      </w:r>
      <w:r w:rsidRPr="009C2EF2">
        <w:rPr>
          <w:rFonts w:ascii="Times New Roman" w:hAnsi="Times New Roman"/>
          <w:color w:val="231F20"/>
          <w:spacing w:val="1"/>
          <w:sz w:val="24"/>
          <w:szCs w:val="24"/>
          <w:lang w:val="az-Latn-AZ"/>
        </w:rPr>
        <w:t xml:space="preserve">deldən yalnız qeyri-məhdud istifadə müddətli </w:t>
      </w:r>
      <w:r w:rsidRPr="009C2EF2">
        <w:rPr>
          <w:rFonts w:ascii="Times New Roman" w:hAnsi="Times New Roman"/>
          <w:i/>
          <w:color w:val="231F20"/>
          <w:spacing w:val="-2"/>
          <w:sz w:val="24"/>
          <w:szCs w:val="24"/>
          <w:lang w:val="az-Latn-AZ"/>
        </w:rPr>
        <w:t xml:space="preserve">aktivlər </w:t>
      </w:r>
      <w:r w:rsidRPr="009C2EF2">
        <w:rPr>
          <w:rFonts w:ascii="Times New Roman" w:hAnsi="Times New Roman"/>
          <w:color w:val="231F20"/>
          <w:spacing w:val="1"/>
          <w:sz w:val="24"/>
          <w:szCs w:val="24"/>
          <w:lang w:val="az-Latn-AZ"/>
        </w:rPr>
        <w:t>üçün istifadə olunur),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yanaşması/çıxış dəyəri (bu yanaşmadan</w:t>
      </w:r>
    </w:p>
    <w:p w:rsidR="00D02DD9" w:rsidRPr="009C2EF2" w:rsidRDefault="003C64E0" w:rsidP="001E366E">
      <w:pPr>
        <w:pStyle w:val="a3"/>
        <w:kinsoku w:val="0"/>
        <w:overflowPunct w:val="0"/>
        <w:spacing w:before="9"/>
        <w:ind w:left="964" w:right="90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həm məhdud istifadə müddətli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həm də qeyri-məhdud istifadə müddətli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üçün istifadə olunur) və</w:t>
      </w:r>
    </w:p>
    <w:p w:rsidR="00D02DD9" w:rsidRPr="009C2EF2" w:rsidRDefault="00D02DD9" w:rsidP="001E366E">
      <w:pPr>
        <w:pStyle w:val="a3"/>
        <w:kinsoku w:val="0"/>
        <w:overflowPunct w:val="0"/>
        <w:spacing w:before="7"/>
        <w:ind w:left="0"/>
        <w:jc w:val="both"/>
        <w:rPr>
          <w:rFonts w:ascii="Times New Roman" w:hAnsi="Times New Roman"/>
          <w:sz w:val="24"/>
          <w:szCs w:val="24"/>
          <w:lang w:val="az-Latn-AZ"/>
        </w:rPr>
      </w:pPr>
    </w:p>
    <w:p w:rsidR="00D02DD9" w:rsidRPr="009C2EF2" w:rsidRDefault="003C64E0" w:rsidP="001E366E">
      <w:pPr>
        <w:pStyle w:val="a3"/>
        <w:numPr>
          <w:ilvl w:val="2"/>
          <w:numId w:val="74"/>
        </w:numPr>
        <w:tabs>
          <w:tab w:val="left" w:pos="965"/>
        </w:tabs>
        <w:kinsoku w:val="0"/>
        <w:overflowPunct w:val="0"/>
        <w:spacing w:line="250" w:lineRule="auto"/>
        <w:ind w:left="964" w:right="185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ləğvetmə dəyəri/tullantı dəyəri (yalnız məhdud istifadə müddətli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üçün istifadə olunur).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Heading51"/>
        <w:kinsoku w:val="0"/>
        <w:overflowPunct w:val="0"/>
        <w:jc w:val="both"/>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Qordon Artım Modeli/Sabit Artım Modeli</w:t>
      </w:r>
    </w:p>
    <w:p w:rsidR="00D02DD9" w:rsidRPr="009C2EF2" w:rsidRDefault="003C64E0" w:rsidP="001E366E">
      <w:pPr>
        <w:pStyle w:val="a3"/>
        <w:numPr>
          <w:ilvl w:val="1"/>
          <w:numId w:val="74"/>
        </w:numPr>
        <w:tabs>
          <w:tab w:val="left" w:pos="681"/>
        </w:tabs>
        <w:kinsoku w:val="0"/>
        <w:overflowPunct w:val="0"/>
        <w:spacing w:before="122" w:line="250" w:lineRule="auto"/>
        <w:ind w:left="680"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Sabit artım modeli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qeyri-müəyyən müddətdə sabit dərəcədə artmasını (azalmasını) nəzərdə tutur.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Heading51"/>
        <w:kinsoku w:val="0"/>
        <w:overflowPunct w:val="0"/>
        <w:jc w:val="both"/>
        <w:outlineLvl w:val="9"/>
        <w:rPr>
          <w:rFonts w:ascii="Times New Roman" w:hAnsi="Times New Roman"/>
          <w:b w:val="0"/>
          <w:i w:val="0"/>
          <w:color w:val="000000"/>
          <w:sz w:val="24"/>
          <w:szCs w:val="24"/>
          <w:lang w:val="az-Latn-AZ"/>
        </w:rPr>
      </w:pPr>
      <w:r w:rsidRPr="009C2EF2">
        <w:rPr>
          <w:rFonts w:ascii="Times New Roman" w:hAnsi="Times New Roman"/>
          <w:color w:val="231F20"/>
          <w:sz w:val="24"/>
          <w:szCs w:val="24"/>
          <w:lang w:val="az-Latn-AZ"/>
        </w:rPr>
        <w:t>Bazar Yanaşması/Çıxış Dəyəri</w:t>
      </w:r>
    </w:p>
    <w:p w:rsidR="00D02DD9" w:rsidRPr="009C2EF2" w:rsidRDefault="003C64E0" w:rsidP="001E366E">
      <w:pPr>
        <w:pStyle w:val="a3"/>
        <w:numPr>
          <w:ilvl w:val="1"/>
          <w:numId w:val="74"/>
        </w:numPr>
        <w:tabs>
          <w:tab w:val="left" w:pos="681"/>
        </w:tabs>
        <w:kinsoku w:val="0"/>
        <w:overflowPunct w:val="0"/>
        <w:spacing w:before="122" w:line="250" w:lineRule="auto"/>
        <w:ind w:left="680" w:right="105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yanaşması/çıxış dəyəri metodu müxtəlif yollarla icra edilə bilər, burada əsas məqsəd pul axını üzrə proqnoz müddətinin sonunda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dəyərinin hesablanmasıdır.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1"/>
          <w:numId w:val="74"/>
        </w:numPr>
        <w:tabs>
          <w:tab w:val="left" w:pos="681"/>
        </w:tabs>
        <w:kinsoku w:val="0"/>
        <w:overflowPunct w:val="0"/>
        <w:spacing w:line="250" w:lineRule="auto"/>
        <w:ind w:left="680" w:right="174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Bu metod əsasında terminal dəyərin hesablanması zamanı, ən çox istifadə olunan üsul kimi, bazar məlumatlarına əsaslanan kapitallaşma əmsalından və ya bazar göstəricilərindən istifadə olunur.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a3"/>
        <w:numPr>
          <w:ilvl w:val="1"/>
          <w:numId w:val="74"/>
        </w:numPr>
        <w:tabs>
          <w:tab w:val="left" w:pos="681"/>
        </w:tabs>
        <w:kinsoku w:val="0"/>
        <w:overflowPunct w:val="0"/>
        <w:ind w:left="68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Bazar yanaşması/çıxış dəyəri tətbiq olunarkən </w:t>
      </w:r>
      <w:r w:rsidRPr="009C2EF2">
        <w:rPr>
          <w:rFonts w:ascii="Times New Roman" w:hAnsi="Times New Roman"/>
          <w:i/>
          <w:color w:val="231F20"/>
          <w:sz w:val="24"/>
          <w:szCs w:val="24"/>
          <w:lang w:val="az-Latn-AZ"/>
        </w:rPr>
        <w:t>qiymətləndirici</w:t>
      </w:r>
    </w:p>
    <w:p w:rsidR="00D02DD9" w:rsidRPr="009C2EF2" w:rsidRDefault="003C64E0" w:rsidP="001E366E">
      <w:pPr>
        <w:pStyle w:val="a3"/>
        <w:kinsoku w:val="0"/>
        <w:overflowPunct w:val="0"/>
        <w:spacing w:before="9"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standartın bazar yanaşması və bazar yanaşması metodları bölməsinin tələblərinə əməl etməlidir (20 və 30-cu bölmələr).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eyni zamanda proqnozlaşdırma müddətinin sonunda gözlənilən bazar şərtlərini də nəzərə almalı və müvafiq dəyişikliklər etməlidir.</w:t>
      </w:r>
    </w:p>
    <w:p w:rsidR="00D02DD9" w:rsidRPr="009C2EF2" w:rsidRDefault="00D02DD9" w:rsidP="001E366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E366E">
      <w:pPr>
        <w:pStyle w:val="Heading51"/>
        <w:kinsoku w:val="0"/>
        <w:overflowPunct w:val="0"/>
        <w:jc w:val="both"/>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Ləğvetmə Dəyəri/Tullantı Dəyəri</w:t>
      </w:r>
    </w:p>
    <w:p w:rsidR="00D02DD9" w:rsidRPr="009C2EF2" w:rsidRDefault="003C64E0" w:rsidP="001E366E">
      <w:pPr>
        <w:pStyle w:val="a3"/>
        <w:numPr>
          <w:ilvl w:val="1"/>
          <w:numId w:val="74"/>
        </w:numPr>
        <w:tabs>
          <w:tab w:val="left" w:pos="681"/>
        </w:tabs>
        <w:kinsoku w:val="0"/>
        <w:overflowPunct w:val="0"/>
        <w:spacing w:before="122" w:line="250" w:lineRule="auto"/>
        <w:ind w:left="680" w:right="108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terminal dəyərinin əvvəlki pul axını ilə kiçik ya da heç əlaqəsi olmaya bilər. Belə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 xml:space="preserve">mədən və ya neft quyusu kimi tükənən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daxildir.</w:t>
      </w:r>
    </w:p>
    <w:p w:rsidR="00D02DD9" w:rsidRPr="009C2EF2" w:rsidRDefault="003C64E0">
      <w:pPr>
        <w:pStyle w:val="a3"/>
        <w:kinsoku w:val="0"/>
        <w:overflowPunct w:val="0"/>
        <w:spacing w:before="80"/>
        <w:ind w:left="2869" w:right="3725"/>
        <w:jc w:val="center"/>
        <w:rPr>
          <w:rFonts w:ascii="Times New Roman" w:hAnsi="Times New Roman"/>
          <w:color w:val="000000"/>
          <w:sz w:val="24"/>
          <w:szCs w:val="24"/>
          <w:lang w:val="az-Latn-AZ"/>
        </w:rPr>
      </w:pPr>
      <w:r w:rsidRPr="009C2EF2">
        <w:rPr>
          <w:rFonts w:ascii="Times New Roman" w:hAnsi="Times New Roman"/>
          <w:color w:val="231F20"/>
          <w:spacing w:val="-9"/>
          <w:sz w:val="24"/>
          <w:szCs w:val="24"/>
          <w:lang w:val="az-Latn-AZ"/>
        </w:rPr>
        <w:t>41</w:t>
      </w:r>
    </w:p>
    <w:p w:rsidR="00D02DD9" w:rsidRPr="009C2EF2" w:rsidRDefault="00D02DD9">
      <w:pPr>
        <w:pStyle w:val="a3"/>
        <w:kinsoku w:val="0"/>
        <w:overflowPunct w:val="0"/>
        <w:spacing w:before="80"/>
        <w:ind w:left="2869" w:right="3725"/>
        <w:jc w:val="center"/>
        <w:rPr>
          <w:rFonts w:ascii="Times New Roman" w:hAnsi="Times New Roman"/>
          <w:color w:val="000000"/>
          <w:sz w:val="24"/>
          <w:szCs w:val="24"/>
          <w:lang w:val="az-Latn-AZ"/>
        </w:rPr>
        <w:sectPr w:rsidR="00D02DD9" w:rsidRPr="009C2EF2">
          <w:footerReference w:type="default" r:id="rId4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99712" behindDoc="1" locked="0" layoutInCell="0" allowOverlap="1">
                <wp:simplePos x="0" y="0"/>
                <wp:positionH relativeFrom="page">
                  <wp:posOffset>0</wp:posOffset>
                </wp:positionH>
                <wp:positionV relativeFrom="page">
                  <wp:posOffset>0</wp:posOffset>
                </wp:positionV>
                <wp:extent cx="432435" cy="8424545"/>
                <wp:effectExtent l="0" t="0" r="0" b="0"/>
                <wp:wrapNone/>
                <wp:docPr id="16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30D3704" id="Freeform 103" o:spid="_x0000_s1026" style="position:absolute;margin-left:0;margin-top:0;width:34.05pt;height:663.3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EvRXv1iAwAAhg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74"/>
        </w:numPr>
        <w:tabs>
          <w:tab w:val="left" w:pos="1531"/>
        </w:tabs>
        <w:kinsoku w:val="0"/>
        <w:overflowPunct w:val="0"/>
        <w:spacing w:before="77"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kimi hallarda terminal dəyər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tullantı dəyərindən daha az olan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ləğvetmə dəyəri kimi hesablanır. Xərclərin ləğvetmə dəyərindən çox olduğu hallarda terminal dəyər mənfiyə düşür və tullantı dəyəri </w:t>
      </w:r>
      <w:r w:rsidRPr="009C2EF2">
        <w:rPr>
          <w:rFonts w:ascii="Times New Roman" w:hAnsi="Times New Roman"/>
          <w:i/>
          <w:color w:val="231F20"/>
          <w:sz w:val="24"/>
          <w:szCs w:val="24"/>
          <w:lang w:val="az-Latn-AZ"/>
        </w:rPr>
        <w:t>aktivin gediş öhdəliyi</w:t>
      </w:r>
      <w:r w:rsidRPr="009C2EF2">
        <w:rPr>
          <w:rFonts w:ascii="Times New Roman" w:hAnsi="Times New Roman"/>
          <w:color w:val="231F20"/>
          <w:sz w:val="24"/>
          <w:szCs w:val="24"/>
          <w:lang w:val="az-Latn-AZ"/>
        </w:rPr>
        <w:t xml:space="preserve"> kimi istinad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3"/>
          <w:sz w:val="24"/>
          <w:szCs w:val="24"/>
          <w:lang w:val="az-Latn-AZ"/>
        </w:rPr>
        <w:t>Diskont faiz dərəcəsi</w:t>
      </w:r>
    </w:p>
    <w:p w:rsidR="00D02DD9" w:rsidRPr="009C2EF2" w:rsidRDefault="003C64E0">
      <w:pPr>
        <w:pStyle w:val="a3"/>
        <w:numPr>
          <w:ilvl w:val="1"/>
          <w:numId w:val="74"/>
        </w:numPr>
        <w:tabs>
          <w:tab w:val="left" w:pos="1531"/>
        </w:tabs>
        <w:kinsoku w:val="0"/>
        <w:overflowPunct w:val="0"/>
        <w:spacing w:before="122"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Proqnozlaşdırılmış pul axınının diskontlaşdırıldığı dərəcə yalnız pulun zaman dəyərini deyil, eyni zamanda pul axınının növü və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gələcək əməliyyatları ilə bağlı riskləri əks </w:t>
      </w:r>
      <w:r w:rsidRPr="009C2EF2">
        <w:rPr>
          <w:rFonts w:ascii="Times New Roman" w:hAnsi="Times New Roman"/>
          <w:i/>
          <w:color w:val="231F20"/>
          <w:spacing w:val="1"/>
          <w:sz w:val="24"/>
          <w:szCs w:val="24"/>
          <w:lang w:val="az-Latn-AZ"/>
        </w:rPr>
        <w:t>etdirməlidir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74"/>
        </w:numPr>
        <w:tabs>
          <w:tab w:val="left" w:pos="1531"/>
        </w:tabs>
        <w:kinsoku w:val="0"/>
        <w:overflowPunct w:val="0"/>
        <w:spacing w:line="250" w:lineRule="auto"/>
        <w:ind w:right="170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0928" behindDoc="0" locked="0" layoutInCell="0" allowOverlap="1">
                <wp:simplePos x="0" y="0"/>
                <wp:positionH relativeFrom="page">
                  <wp:posOffset>151130</wp:posOffset>
                </wp:positionH>
                <wp:positionV relativeFrom="paragraph">
                  <wp:posOffset>307340</wp:posOffset>
                </wp:positionV>
                <wp:extent cx="152400" cy="4004945"/>
                <wp:effectExtent l="0" t="0" r="0" b="0"/>
                <wp:wrapNone/>
                <wp:docPr id="1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11.9pt;margin-top:24.2pt;width:12pt;height:315.3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l/rwIAALg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pacing w:val="-1"/>
          <w:sz w:val="24"/>
          <w:szCs w:val="24"/>
          <w:lang w:val="az-Latn-AZ"/>
        </w:rPr>
        <w:t xml:space="preserve">Qiymətləndirici </w:t>
      </w:r>
      <w:r w:rsidR="003C64E0" w:rsidRPr="009C2EF2">
        <w:rPr>
          <w:rFonts w:ascii="Times New Roman" w:hAnsi="Times New Roman"/>
          <w:color w:val="231F20"/>
          <w:sz w:val="24"/>
          <w:szCs w:val="24"/>
          <w:lang w:val="az-Latn-AZ"/>
        </w:rPr>
        <w:t>diskont faiz dərəcəsinin müəyyənləşdirilməsində uyğun gələn hər hansı metoddan istifadə edə bilər. Diskont faiz dərəcəsinin müəyyənləşdirilməsi üçün bir neçə metod təklif olunur və ən çox istifadə olunan metodların natamam siyahısına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Kapital </w:t>
      </w:r>
      <w:r w:rsidRPr="009C2EF2">
        <w:rPr>
          <w:rFonts w:ascii="Times New Roman" w:hAnsi="Times New Roman"/>
          <w:i/>
          <w:color w:val="231F20"/>
          <w:sz w:val="24"/>
          <w:szCs w:val="24"/>
          <w:lang w:val="az-Latn-AZ"/>
        </w:rPr>
        <w:t>aktivlərin </w:t>
      </w:r>
      <w:r w:rsidRPr="009C2EF2">
        <w:rPr>
          <w:rFonts w:ascii="Times New Roman" w:hAnsi="Times New Roman"/>
          <w:color w:val="231F20"/>
          <w:sz w:val="24"/>
          <w:szCs w:val="24"/>
          <w:lang w:val="az-Latn-AZ"/>
        </w:rPr>
        <w:t>qiymətləndirilməsi modeli (KAQM),</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kapitalın orta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z w:val="24"/>
          <w:szCs w:val="24"/>
          <w:lang w:val="az-Latn-AZ"/>
        </w:rPr>
        <w:t>dəyəri (KOÇD)</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müşahidə olunan və ya nəzərdə tutulan norma/məhsuldarlıq,</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daxili gəlirlilik faizi (IRR),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orta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z w:val="24"/>
          <w:szCs w:val="24"/>
          <w:lang w:val="az-Latn-AZ"/>
        </w:rPr>
        <w:t>gəlirliliyi (WARA)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2303"/>
        <w:rPr>
          <w:rFonts w:ascii="Times New Roman" w:hAnsi="Times New Roman"/>
          <w:color w:val="000000"/>
          <w:sz w:val="24"/>
          <w:szCs w:val="24"/>
          <w:lang w:val="az-Latn-AZ"/>
        </w:rPr>
      </w:pPr>
      <w:r w:rsidRPr="009C2EF2">
        <w:rPr>
          <w:rFonts w:ascii="Times New Roman" w:hAnsi="Times New Roman"/>
          <w:color w:val="231F20"/>
          <w:sz w:val="24"/>
          <w:szCs w:val="24"/>
          <w:lang w:val="az-Latn-AZ"/>
        </w:rPr>
        <w:t>yığma metodu (adətən bazar məlumatlarının olmadığı hallarda istifadə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4"/>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Diskont faiz dərəcəsinin hazırlanması zamanı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nəzərə almalıdır: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tətbiq olunan pul axını əsasında verilmiş proqnozlarla bağlı risk,</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növü. Məsələn, borcun qiymətləndirilməsi zamanı istifadə olunan diskont faiz dərəcələri daşınmaz əmlakın və ya müəssisənin qiymətləndirilməsi zamanı istifadə olunan diskont faiz dərəcələrindən fərqlənəcək,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bazardakı əməliyyatlar üçün nəzərdə tutulan dərəcələr,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coğrafi mövqeyi və satışının həyata keçiriləcəyi bazarın yeri,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411"/>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müddəti və ilkin məlumatların uyğunluğu.  Məsələn, nəzərdə tutulmuş risksiz faiz dərəcəsi 30 illik ilə üç illik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üzrə fərqli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istifadə olunan pul axınının növü (50.5-ci bəndə baxın)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4"/>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tətbiq edilən dəyər bazaları. Əksər dəyər bazaları üzrə diskont faiz dərəcəsi </w:t>
      </w:r>
      <w:r w:rsidRPr="009C2EF2">
        <w:rPr>
          <w:rFonts w:ascii="Times New Roman" w:hAnsi="Times New Roman"/>
          <w:i/>
          <w:color w:val="231F20"/>
          <w:sz w:val="24"/>
          <w:szCs w:val="24"/>
          <w:lang w:val="az-Latn-AZ"/>
        </w:rPr>
        <w:t xml:space="preserve">iştirakçının </w:t>
      </w:r>
      <w:r w:rsidRPr="009C2EF2">
        <w:rPr>
          <w:rFonts w:ascii="Times New Roman" w:hAnsi="Times New Roman"/>
          <w:color w:val="231F20"/>
          <w:sz w:val="24"/>
          <w:szCs w:val="24"/>
          <w:lang w:val="az-Latn-AZ"/>
        </w:rPr>
        <w:t xml:space="preserve">maraqları əsasında </w:t>
      </w:r>
      <w:r w:rsidRPr="009C2EF2">
        <w:rPr>
          <w:rFonts w:ascii="Times New Roman" w:hAnsi="Times New Roman"/>
          <w:i/>
          <w:color w:val="231F20"/>
          <w:spacing w:val="1"/>
          <w:sz w:val="24"/>
          <w:szCs w:val="24"/>
          <w:lang w:val="az-Latn-AZ"/>
        </w:rPr>
        <w:t>müəyyənləşdirilməlidir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3"/>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pPr>
        <w:pStyle w:val="a3"/>
        <w:numPr>
          <w:ilvl w:val="1"/>
          <w:numId w:val="73"/>
        </w:numPr>
        <w:tabs>
          <w:tab w:val="left" w:pos="1531"/>
        </w:tabs>
        <w:kinsoku w:val="0"/>
        <w:overflowPunct w:val="0"/>
        <w:spacing w:before="122" w:line="250" w:lineRule="auto"/>
        <w:ind w:right="124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 uyğun olmayan zaman, əlverişsizlik, təhlükə, risk və ya digər amillər özünü göstərməyənədək bərabər faydalı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əldə olunması halı istisna edilməklə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ilə bağlı alıcı tərəfindən hər hansı ödənişin edilməyəcəyi iqtisadi prinsipi əsasında dəyər göstəricisini müəyyən edir. Yanaşma</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2"/>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42</w:t>
      </w:r>
    </w:p>
    <w:p w:rsidR="00D02DD9" w:rsidRPr="009C2EF2" w:rsidRDefault="00D02DD9">
      <w:pPr>
        <w:pStyle w:val="a3"/>
        <w:kinsoku w:val="0"/>
        <w:overflowPunct w:val="0"/>
        <w:spacing w:before="80"/>
        <w:ind w:left="4185" w:right="4352"/>
        <w:jc w:val="center"/>
        <w:rPr>
          <w:rFonts w:ascii="Times New Roman" w:hAnsi="Times New Roman"/>
          <w:color w:val="000000"/>
          <w:sz w:val="24"/>
          <w:szCs w:val="24"/>
          <w:lang w:val="az-Latn-AZ"/>
        </w:rPr>
        <w:sectPr w:rsidR="00D02DD9" w:rsidRPr="009C2EF2">
          <w:footerReference w:type="default" r:id="rId4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0736" behindDoc="1" locked="0" layoutInCell="0" allowOverlap="1">
                <wp:simplePos x="0" y="0"/>
                <wp:positionH relativeFrom="page">
                  <wp:posOffset>5183505</wp:posOffset>
                </wp:positionH>
                <wp:positionV relativeFrom="page">
                  <wp:posOffset>0</wp:posOffset>
                </wp:positionV>
                <wp:extent cx="431800" cy="8423910"/>
                <wp:effectExtent l="0" t="0" r="0" b="0"/>
                <wp:wrapNone/>
                <wp:docPr id="16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2904120" id="Freeform 105" o:spid="_x0000_s1026" style="position:absolute;margin-left:408.15pt;margin-top:0;width:34pt;height:663.3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o/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hypqP3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left="680" w:right="152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cari əvəzetmə xərclərini və ya təkrar istehsal xərclərini hesablamaqla və fiziki aşınma və digər köhnəlmə xərclərini çıxmaqla dəyər göstəricisini müəyyən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3"/>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 aşağıdakı hallarda tətbiq </w:t>
      </w:r>
      <w:r w:rsidRPr="009C2EF2">
        <w:rPr>
          <w:rFonts w:ascii="Times New Roman" w:hAnsi="Times New Roman"/>
          <w:i/>
          <w:color w:val="231F20"/>
          <w:spacing w:val="1"/>
          <w:sz w:val="24"/>
          <w:szCs w:val="24"/>
          <w:lang w:val="az-Latn-AZ"/>
        </w:rPr>
        <w:t xml:space="preserve">olunmalı </w:t>
      </w:r>
      <w:r w:rsidRPr="009C2EF2">
        <w:rPr>
          <w:rFonts w:ascii="Times New Roman" w:hAnsi="Times New Roman"/>
          <w:color w:val="231F20"/>
          <w:sz w:val="24"/>
          <w:szCs w:val="24"/>
          <w:lang w:val="az-Latn-AZ"/>
        </w:rPr>
        <w:t xml:space="preserve">və </w:t>
      </w:r>
      <w:r w:rsidRPr="009C2EF2">
        <w:rPr>
          <w:rFonts w:ascii="Times New Roman" w:hAnsi="Times New Roman"/>
          <w:i/>
          <w:color w:val="231F20"/>
          <w:sz w:val="24"/>
          <w:szCs w:val="24"/>
          <w:lang w:val="az-Latn-AZ"/>
        </w:rPr>
        <w:t>qiymətləndirilməlidir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3"/>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z w:val="24"/>
          <w:szCs w:val="24"/>
          <w:lang w:val="az-Latn-AZ"/>
        </w:rPr>
        <w:t xml:space="preserve">qanuni məhdudiyyətlər olmadan qiymətləndirilən aktiv kimi eyni faydalılığa malik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yarada bildiyi təqdirdə və </w:t>
      </w:r>
      <w:r w:rsidRPr="009C2EF2">
        <w:rPr>
          <w:rFonts w:ascii="Times New Roman" w:hAnsi="Times New Roman"/>
          <w:i/>
          <w:color w:val="231F20"/>
          <w:sz w:val="24"/>
          <w:szCs w:val="24"/>
          <w:lang w:val="az-Latn-AZ"/>
        </w:rPr>
        <w:t>iştirakçılar</w:t>
      </w:r>
    </w:p>
    <w:p w:rsidR="00D02DD9" w:rsidRPr="009C2EF2" w:rsidRDefault="003C64E0">
      <w:pPr>
        <w:pStyle w:val="a3"/>
        <w:kinsoku w:val="0"/>
        <w:overflowPunct w:val="0"/>
        <w:spacing w:line="250" w:lineRule="auto"/>
        <w:ind w:left="964" w:right="982" w:hanging="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tərəfindən qiymətləndirilən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 xml:space="preserve">dərhal istifadə oluna bilməsi ilə bağlı tələb olunan </w:t>
      </w:r>
      <w:r w:rsidRPr="009C2EF2">
        <w:rPr>
          <w:rFonts w:ascii="Times New Roman" w:hAnsi="Times New Roman"/>
          <w:i/>
          <w:color w:val="231F20"/>
          <w:sz w:val="24"/>
          <w:szCs w:val="24"/>
          <w:lang w:val="az-Latn-AZ"/>
        </w:rPr>
        <w:t xml:space="preserve">böyük </w:t>
      </w:r>
      <w:r w:rsidRPr="009C2EF2">
        <w:rPr>
          <w:rFonts w:ascii="Times New Roman" w:hAnsi="Times New Roman"/>
          <w:color w:val="231F20"/>
          <w:sz w:val="24"/>
          <w:szCs w:val="24"/>
          <w:lang w:val="az-Latn-AZ"/>
        </w:rPr>
        <w:t xml:space="preserve">məbləğin ödənilməsinə etiraz edilməsi nəticəsində həmin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z w:val="24"/>
          <w:szCs w:val="24"/>
          <w:lang w:val="az-Latn-AZ"/>
        </w:rPr>
        <w:t>yenidən baxıla bildiyi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3"/>
        </w:numPr>
        <w:tabs>
          <w:tab w:val="left" w:pos="965"/>
        </w:tabs>
        <w:kinsoku w:val="0"/>
        <w:overflowPunct w:val="0"/>
        <w:spacing w:line="250" w:lineRule="auto"/>
        <w:ind w:left="964" w:right="1104"/>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1952" behindDoc="0" locked="0" layoutInCell="0" allowOverlap="1">
                <wp:simplePos x="0" y="0"/>
                <wp:positionH relativeFrom="page">
                  <wp:posOffset>5276215</wp:posOffset>
                </wp:positionH>
                <wp:positionV relativeFrom="paragraph">
                  <wp:posOffset>-1270</wp:posOffset>
                </wp:positionV>
                <wp:extent cx="152400" cy="4004945"/>
                <wp:effectExtent l="0" t="0" r="0" b="0"/>
                <wp:wrapNone/>
                <wp:docPr id="16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2" type="#_x0000_t202" style="position:absolute;left:0;text-align:left;margin-left:415.45pt;margin-top:-.1pt;width:12pt;height:315.3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z w:val="24"/>
          <w:szCs w:val="24"/>
          <w:lang w:val="az-Latn-AZ"/>
        </w:rPr>
        <w:t xml:space="preserve">gəlirin yaranmasına birbaşa təsir etmədiyi halda və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təbiəti gəlir yanaşmasından və ya bazar yanaşmasından istifadəyə imkan vermədiyi halda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3"/>
        </w:numPr>
        <w:tabs>
          <w:tab w:val="left" w:pos="965"/>
        </w:tabs>
        <w:kinsoku w:val="0"/>
        <w:overflowPunct w:val="0"/>
        <w:spacing w:line="250" w:lineRule="auto"/>
        <w:ind w:left="964"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istifadə olunan dəyər bazası əvəzetmə dəyəri kimi əvəzetmə xərcinə əsaslandığı halda.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73"/>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Xərc yanaşmasının tətbiq </w:t>
      </w:r>
      <w:r w:rsidRPr="009C2EF2">
        <w:rPr>
          <w:rFonts w:ascii="Times New Roman" w:hAnsi="Times New Roman"/>
          <w:i/>
          <w:color w:val="231F20"/>
          <w:spacing w:val="1"/>
          <w:sz w:val="24"/>
          <w:szCs w:val="24"/>
          <w:lang w:val="az-Latn-AZ"/>
        </w:rPr>
        <w:t>olunmasını</w:t>
      </w:r>
      <w:r w:rsidR="001F22AE"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və </w:t>
      </w:r>
      <w:r w:rsidRPr="009C2EF2">
        <w:rPr>
          <w:rFonts w:ascii="Times New Roman" w:hAnsi="Times New Roman"/>
          <w:i/>
          <w:color w:val="231F20"/>
          <w:sz w:val="24"/>
          <w:szCs w:val="24"/>
          <w:lang w:val="az-Latn-AZ"/>
        </w:rPr>
        <w:t xml:space="preserve">qiymətləndirilməsini </w:t>
      </w:r>
      <w:r w:rsidRPr="009C2EF2">
        <w:rPr>
          <w:rFonts w:ascii="Times New Roman" w:hAnsi="Times New Roman"/>
          <w:color w:val="231F20"/>
          <w:spacing w:val="1"/>
          <w:sz w:val="24"/>
          <w:szCs w:val="24"/>
          <w:lang w:val="az-Latn-AZ"/>
        </w:rPr>
        <w:t xml:space="preserve">tələb edən 60.2 bəndində verilmiş şərtlərlə yanaşı xərc yanaşmasının tətbiq olunması və </w:t>
      </w:r>
      <w:r w:rsidRPr="009C2EF2">
        <w:rPr>
          <w:rFonts w:ascii="Times New Roman" w:hAnsi="Times New Roman"/>
          <w:i/>
          <w:color w:val="231F20"/>
          <w:sz w:val="24"/>
          <w:szCs w:val="24"/>
          <w:lang w:val="az-Latn-AZ"/>
        </w:rPr>
        <w:t xml:space="preserve">qiymətləndirilməsi </w:t>
      </w:r>
      <w:r w:rsidRPr="009C2EF2">
        <w:rPr>
          <w:rFonts w:ascii="Times New Roman" w:hAnsi="Times New Roman"/>
          <w:color w:val="231F20"/>
          <w:spacing w:val="1"/>
          <w:sz w:val="24"/>
          <w:szCs w:val="24"/>
          <w:lang w:val="az-Latn-AZ"/>
        </w:rPr>
        <w:t xml:space="preserve">üçün əlavə şərtlər də müəyyənləşdirilib. Aşağıdakı şərtlərlə xərc yanaşmasından istifadə edərkən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digər yanaşmaların</w:t>
      </w:r>
      <w:r w:rsidR="001E366E"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tətbiq edilib-edilməyəcəyini və xərc yanaşmasından əldə olunan dəyər göstəricisinin təsdiqlənməsi üçün həmin yanaşmaların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z w:val="24"/>
          <w:szCs w:val="24"/>
          <w:lang w:val="az-Latn-AZ"/>
        </w:rPr>
        <w:t>olub-olmamasını nəzərdən keçirməlidir: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3"/>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 xml:space="preserve">oxşar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yenidən yaradılmasına nəzər sala bilər, lakin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yaradılması ilə bağlı </w:t>
      </w:r>
      <w:r w:rsidRPr="009C2EF2">
        <w:rPr>
          <w:rFonts w:ascii="Times New Roman" w:hAnsi="Times New Roman"/>
          <w:i/>
          <w:color w:val="231F20"/>
          <w:sz w:val="24"/>
          <w:szCs w:val="24"/>
          <w:lang w:val="az-Latn-AZ"/>
        </w:rPr>
        <w:t>müəyyən</w:t>
      </w:r>
      <w:r w:rsidR="001E366E" w:rsidRPr="009C2EF2">
        <w:rPr>
          <w:rFonts w:ascii="Times New Roman" w:hAnsi="Times New Roman"/>
          <w:i/>
          <w:color w:val="231F20"/>
          <w:sz w:val="24"/>
          <w:szCs w:val="24"/>
          <w:lang w:val="az-Latn-AZ"/>
        </w:rPr>
        <w:t xml:space="preserve"> </w:t>
      </w:r>
      <w:r w:rsidRPr="009C2EF2">
        <w:rPr>
          <w:rFonts w:ascii="Times New Roman" w:hAnsi="Times New Roman"/>
          <w:color w:val="231F20"/>
          <w:sz w:val="24"/>
          <w:szCs w:val="24"/>
          <w:lang w:val="az-Latn-AZ"/>
        </w:rPr>
        <w:t>vaxt çərçivəsi və qanuni məhdudiyyətlər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73"/>
        </w:numPr>
        <w:tabs>
          <w:tab w:val="left" w:pos="965"/>
        </w:tabs>
        <w:kinsoku w:val="0"/>
        <w:overflowPunct w:val="0"/>
        <w:spacing w:before="9"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xərc yanaşmasından digər yanaşmaların səmərəliliyinin yoxlanılması üçün istifadə edildikdə</w:t>
      </w:r>
      <w:r w:rsidR="001E366E"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(məsələn, fəaliyyətin davamlılığı prinsipindən qiymətləndirilən müəssisənin ləğvetmə bazası üzrə daha dəyərli olub-olmamasını təsdiqləmək üçün xərc yanaşmasından istifadə etdikdə)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3"/>
        </w:numPr>
        <w:tabs>
          <w:tab w:val="left" w:pos="965"/>
        </w:tabs>
        <w:kinsoku w:val="0"/>
        <w:overflowPunct w:val="0"/>
        <w:spacing w:line="250" w:lineRule="auto"/>
        <w:ind w:left="964" w:right="1588"/>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bu yaxınlarda yaradıldığı və xərc yanaşmasında istifadə olunan ehtimalların kifayət qədər etibarlı hesab olunduğu təqdirdə.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3"/>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Qismən tamamlanmış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dəyərində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yaradılması tarixinədək yaranmış xərclər (və bu xərclərin dəyərə təsiri) və tamamlanacaq mülkiyyətin dəyəri ilə bağlı </w:t>
      </w: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z w:val="24"/>
          <w:szCs w:val="24"/>
          <w:lang w:val="az-Latn-AZ"/>
        </w:rPr>
        <w:t xml:space="preserve">gözləntiləri əks olunacaq, lakin bu zaman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tamamlanması üçün tələb olunan xərc və vaxt, eləcə də, mənfəət və risk ilə bağlı müvafiq tənzimləmələr 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2"/>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 Metodları</w:t>
      </w:r>
    </w:p>
    <w:p w:rsidR="00D02DD9" w:rsidRPr="009C2EF2" w:rsidRDefault="003C64E0">
      <w:pPr>
        <w:pStyle w:val="a3"/>
        <w:numPr>
          <w:ilvl w:val="1"/>
          <w:numId w:val="72"/>
        </w:numPr>
        <w:tabs>
          <w:tab w:val="left" w:pos="681"/>
        </w:tabs>
        <w:kinsoku w:val="0"/>
        <w:overflowPunct w:val="0"/>
        <w:spacing w:before="122"/>
        <w:ind w:hanging="141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Ümumilikdə xərc yanaşması ilə bağlı üç metod mövcuddur: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əvəzetmə xərci metodu: ekvivalent faydaya malik oxşar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xərcini hesablamaqla dəyəri müəyyən edən metod,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təkrar istehsal xərci metodu: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tam oxşarının yenidən yaradılması ilə bağlı xərcləri hesablamaqla dəyəri müəyyənləşdirən xərc metodu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toplama metodu: komponentlərinin dəyərlərini toplayaraq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dəyərini müəyyənləşdirən metod.</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43</w:t>
      </w:r>
    </w:p>
    <w:p w:rsidR="00D02DD9" w:rsidRPr="009C2EF2" w:rsidRDefault="00D02DD9">
      <w:pPr>
        <w:pStyle w:val="a3"/>
        <w:kinsoku w:val="0"/>
        <w:overflowPunct w:val="0"/>
        <w:spacing w:before="80"/>
        <w:ind w:left="2878" w:right="3722"/>
        <w:jc w:val="center"/>
        <w:rPr>
          <w:rFonts w:ascii="Times New Roman" w:hAnsi="Times New Roman"/>
          <w:color w:val="000000"/>
          <w:sz w:val="24"/>
          <w:szCs w:val="24"/>
          <w:lang w:val="az-Latn-AZ"/>
        </w:rPr>
        <w:sectPr w:rsidR="00D02DD9" w:rsidRPr="009C2EF2">
          <w:footerReference w:type="default" r:id="rId4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1760" behindDoc="1" locked="0" layoutInCell="0" allowOverlap="1">
                <wp:simplePos x="0" y="0"/>
                <wp:positionH relativeFrom="page">
                  <wp:posOffset>0</wp:posOffset>
                </wp:positionH>
                <wp:positionV relativeFrom="page">
                  <wp:posOffset>0</wp:posOffset>
                </wp:positionV>
                <wp:extent cx="432435" cy="8424545"/>
                <wp:effectExtent l="0" t="0" r="0" b="0"/>
                <wp:wrapNone/>
                <wp:docPr id="16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319C27" id="Freeform 107" o:spid="_x0000_s1026" style="position:absolute;margin-left:0;margin-top:0;width:34.05pt;height:663.3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Heading51"/>
        <w:kinsoku w:val="0"/>
        <w:overflowPunct w:val="0"/>
        <w:spacing w:before="77"/>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Əvəzetmə Xərci Metodu</w:t>
      </w:r>
    </w:p>
    <w:p w:rsidR="00D02DD9" w:rsidRPr="009C2EF2" w:rsidRDefault="00D02DD9">
      <w:pPr>
        <w:pStyle w:val="a3"/>
        <w:kinsoku w:val="0"/>
        <w:overflowPunct w:val="0"/>
        <w:spacing w:before="7"/>
        <w:ind w:left="0"/>
        <w:rPr>
          <w:rFonts w:ascii="Times New Roman" w:hAnsi="Times New Roman"/>
          <w:b/>
          <w:i/>
          <w:sz w:val="24"/>
          <w:szCs w:val="24"/>
          <w:lang w:val="az-Latn-AZ"/>
        </w:rPr>
      </w:pPr>
    </w:p>
    <w:p w:rsidR="00D02DD9" w:rsidRPr="009C2EF2" w:rsidRDefault="003C64E0">
      <w:pPr>
        <w:pStyle w:val="a3"/>
        <w:numPr>
          <w:ilvl w:val="1"/>
          <w:numId w:val="72"/>
        </w:numPr>
        <w:tabs>
          <w:tab w:val="left" w:pos="1531"/>
        </w:tabs>
        <w:kinsoku w:val="0"/>
        <w:overflowPunct w:val="0"/>
        <w:spacing w:line="250" w:lineRule="auto"/>
        <w:ind w:right="1425"/>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Ümumilikdə əvəzetmə xərci fiziki göstəricilərinə görə deyil, faydalılığına görə oxşar olan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pacing w:val="-1"/>
          <w:sz w:val="24"/>
          <w:szCs w:val="24"/>
          <w:lang w:val="az-Latn-AZ"/>
        </w:rPr>
        <w:t xml:space="preserve">üçün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pacing w:val="-1"/>
          <w:sz w:val="24"/>
          <w:szCs w:val="24"/>
          <w:lang w:val="az-Latn-AZ"/>
        </w:rPr>
        <w:t>ödəyəcəyi qiymətin müəyyənləşdirilməsi ilə bağlı xərcdir.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1531"/>
        </w:tabs>
        <w:kinsoku w:val="0"/>
        <w:overflowPunct w:val="0"/>
        <w:spacing w:line="250" w:lineRule="auto"/>
        <w:ind w:right="1758"/>
        <w:rPr>
          <w:rFonts w:ascii="Times New Roman" w:hAnsi="Times New Roman"/>
          <w:color w:val="000000"/>
          <w:sz w:val="24"/>
          <w:szCs w:val="24"/>
          <w:lang w:val="az-Latn-AZ"/>
        </w:rPr>
      </w:pPr>
      <w:r w:rsidRPr="009C2EF2">
        <w:rPr>
          <w:rFonts w:ascii="Times New Roman" w:hAnsi="Times New Roman"/>
          <w:color w:val="231F20"/>
          <w:sz w:val="24"/>
          <w:szCs w:val="24"/>
          <w:lang w:val="az-Latn-AZ"/>
        </w:rPr>
        <w:t>Əvəzetmə xərcində fiziki aşınma və digər köhnəlmə xərcləri tənzimlənir. Bu kimi tənzimləmələrdən sonra bu xərc amortizasiya olunmuş əvəzlənmə dəyəri kimi istinad edilə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Əvəzetmə xərc metodunun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tam oxşarının yaradılması</w:t>
      </w:r>
    </w:p>
    <w:p w:rsidR="00D02DD9" w:rsidRPr="009C2EF2" w:rsidRDefault="0075026C">
      <w:pPr>
        <w:pStyle w:val="a3"/>
        <w:kinsoku w:val="0"/>
        <w:overflowPunct w:val="0"/>
        <w:spacing w:before="9"/>
        <w:ind w:left="1814"/>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82976" behindDoc="0" locked="0" layoutInCell="0" allowOverlap="1">
                <wp:simplePos x="0" y="0"/>
                <wp:positionH relativeFrom="page">
                  <wp:posOffset>151130</wp:posOffset>
                </wp:positionH>
                <wp:positionV relativeFrom="paragraph">
                  <wp:posOffset>31750</wp:posOffset>
                </wp:positionV>
                <wp:extent cx="152400" cy="4004945"/>
                <wp:effectExtent l="0" t="0" r="0" b="0"/>
                <wp:wrapNone/>
                <wp:docPr id="1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3" type="#_x0000_t202" style="position:absolute;left:0;text-align:left;margin-left:11.9pt;margin-top:2.5pt;width:12pt;height:315.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R0sAIAALg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ilə bağlı tipik </w:t>
      </w:r>
      <w:r w:rsidR="003C64E0" w:rsidRPr="009C2EF2">
        <w:rPr>
          <w:rFonts w:ascii="Times New Roman" w:hAnsi="Times New Roman"/>
          <w:i/>
          <w:color w:val="231F20"/>
          <w:sz w:val="24"/>
          <w:szCs w:val="24"/>
          <w:lang w:val="az-Latn-AZ"/>
        </w:rPr>
        <w:t xml:space="preserve">iştirakçının </w:t>
      </w:r>
      <w:r w:rsidR="003C64E0" w:rsidRPr="009C2EF2">
        <w:rPr>
          <w:rFonts w:ascii="Times New Roman" w:hAnsi="Times New Roman"/>
          <w:color w:val="231F20"/>
          <w:sz w:val="24"/>
          <w:szCs w:val="24"/>
          <w:lang w:val="az-Latn-AZ"/>
        </w:rPr>
        <w:t>çəkdiyi bütün xərclərin hesablanması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fiziki, funksional və xarici köhnəlməsi ilə bağlı amortizasiya xərclərinin müəyyənləşdirilməsi (əgər varsa)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41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dəyərinin müəyyənləşdirilməsi üçün ümumi xərclərdən amortizasiya xərclərinin  çıxılması.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Əvəzetmə xərci qiymətləndirilən </w:t>
      </w:r>
      <w:r w:rsidRPr="009C2EF2">
        <w:rPr>
          <w:rFonts w:ascii="Times New Roman" w:hAnsi="Times New Roman"/>
          <w:i/>
          <w:color w:val="231F20"/>
          <w:spacing w:val="-1"/>
          <w:sz w:val="24"/>
          <w:szCs w:val="24"/>
          <w:lang w:val="az-Latn-AZ"/>
        </w:rPr>
        <w:t xml:space="preserve">aktivlə </w:t>
      </w:r>
      <w:r w:rsidRPr="009C2EF2">
        <w:rPr>
          <w:rFonts w:ascii="Times New Roman" w:hAnsi="Times New Roman"/>
          <w:color w:val="231F20"/>
          <w:sz w:val="24"/>
          <w:szCs w:val="24"/>
          <w:lang w:val="az-Latn-AZ"/>
        </w:rPr>
        <w:t xml:space="preserve">oxşar funksiya və ekvivalent faydalılığa malik olan, lakin qənaətcil material və texnikalardan istifadə etməklə yaradılan müasir ekvivalent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cari xərcidir.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Təkrar İstehsal Xərci Metodu</w:t>
      </w:r>
    </w:p>
    <w:p w:rsidR="00D02DD9" w:rsidRPr="009C2EF2" w:rsidRDefault="003C64E0">
      <w:pPr>
        <w:pStyle w:val="a3"/>
        <w:numPr>
          <w:ilvl w:val="1"/>
          <w:numId w:val="72"/>
        </w:numPr>
        <w:tabs>
          <w:tab w:val="left" w:pos="1531"/>
        </w:tabs>
        <w:kinsoku w:val="0"/>
        <w:overflowPunct w:val="0"/>
        <w:spacing w:before="122"/>
        <w:rPr>
          <w:rFonts w:ascii="Times New Roman" w:hAnsi="Times New Roman"/>
          <w:color w:val="000000"/>
          <w:sz w:val="24"/>
          <w:szCs w:val="24"/>
          <w:lang w:val="az-Latn-AZ"/>
        </w:rPr>
      </w:pPr>
      <w:r w:rsidRPr="009C2EF2">
        <w:rPr>
          <w:rFonts w:ascii="Times New Roman" w:hAnsi="Times New Roman"/>
          <w:color w:val="231F20"/>
          <w:sz w:val="24"/>
          <w:szCs w:val="24"/>
          <w:lang w:val="az-Latn-AZ"/>
        </w:rPr>
        <w:t>Təkrar istehsal xərci aşağıdakı hallarda tətbiq olunur: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91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müasir ekvivalent xərci 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oxşarının xərcindən çox olduqda və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18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faydalılığı müasir ekvivalentdən daha çox oxşarı ilə təmin edilə bildikdə.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Təkrar istehsal xərci metodunun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tam oxşarının yaradılması</w:t>
      </w:r>
    </w:p>
    <w:p w:rsidR="00D02DD9" w:rsidRPr="009C2EF2" w:rsidRDefault="003C64E0">
      <w:pPr>
        <w:pStyle w:val="a3"/>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ilə bağlı tipik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çəkdiyi bütün xərclərin hesablanması,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fiziki, funksional və xarici köhnəlməsi ilə bağlı amortizasiya xərclərinin müəyyənləşdirilməsi (əgər varsa)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41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dəyərinin müəyyənləşdirilməsi üçün ümumi xərclərdən amortizasiya xərclərinin  çıxılması.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Toplama Metodu</w:t>
      </w:r>
    </w:p>
    <w:p w:rsidR="00D02DD9" w:rsidRPr="009C2EF2" w:rsidRDefault="003C64E0">
      <w:pPr>
        <w:pStyle w:val="a3"/>
        <w:numPr>
          <w:ilvl w:val="1"/>
          <w:numId w:val="72"/>
        </w:numPr>
        <w:tabs>
          <w:tab w:val="left" w:pos="1531"/>
        </w:tabs>
        <w:kinsoku w:val="0"/>
        <w:overflowPunct w:val="0"/>
        <w:spacing w:before="122" w:line="250" w:lineRule="auto"/>
        <w:ind w:right="126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Toplama metodu baza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metodu kimi də istinad edilir və bu metoddan, adətən, investisiya şirkətlərində və dəyərin səhm dəyərinin əsas amillərindən birini təşkil etdiyi </w:t>
      </w:r>
      <w:r w:rsidRPr="009C2EF2">
        <w:rPr>
          <w:rFonts w:ascii="Times New Roman" w:hAnsi="Times New Roman"/>
          <w:i/>
          <w:color w:val="231F20"/>
          <w:sz w:val="24"/>
          <w:szCs w:val="24"/>
          <w:lang w:val="az-Latn-AZ"/>
        </w:rPr>
        <w:t xml:space="preserve">aktivlərdə </w:t>
      </w:r>
      <w:r w:rsidRPr="009C2EF2">
        <w:rPr>
          <w:rFonts w:ascii="Times New Roman" w:hAnsi="Times New Roman"/>
          <w:color w:val="231F20"/>
          <w:sz w:val="24"/>
          <w:szCs w:val="24"/>
          <w:lang w:val="az-Latn-AZ"/>
        </w:rPr>
        <w:t>və ya müəssisələrdə istifadə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Toplama metodunun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1F22AE">
      <w:pPr>
        <w:pStyle w:val="a3"/>
        <w:numPr>
          <w:ilvl w:val="2"/>
          <w:numId w:val="72"/>
        </w:numPr>
        <w:tabs>
          <w:tab w:val="left" w:pos="1815"/>
        </w:tabs>
        <w:kinsoku w:val="0"/>
        <w:overflowPunct w:val="0"/>
        <w:spacing w:before="9"/>
        <w:ind w:left="1814" w:hanging="19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uyğun qiymətləndirmə yanaşması və metodlarından istifadə etməklə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tərkib hissəsi olan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dəyərinin</w:t>
      </w:r>
      <w:r w:rsidR="001E366E"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müəyyənləşdirilməsi</w:t>
      </w: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44</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5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2784" behindDoc="1" locked="0" layoutInCell="0" allowOverlap="1">
                <wp:simplePos x="0" y="0"/>
                <wp:positionH relativeFrom="page">
                  <wp:posOffset>5183505</wp:posOffset>
                </wp:positionH>
                <wp:positionV relativeFrom="page">
                  <wp:posOffset>0</wp:posOffset>
                </wp:positionV>
                <wp:extent cx="431800" cy="8423910"/>
                <wp:effectExtent l="0" t="0" r="0" b="0"/>
                <wp:wrapNone/>
                <wp:docPr id="16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0DDDB7" id="Freeform 109" o:spid="_x0000_s1026" style="position:absolute;margin-left:408.15pt;margin-top:0;width:34pt;height:663.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72"/>
        </w:numPr>
        <w:tabs>
          <w:tab w:val="left" w:pos="965"/>
        </w:tabs>
        <w:kinsoku w:val="0"/>
        <w:overflowPunct w:val="0"/>
        <w:spacing w:before="77" w:line="250" w:lineRule="auto"/>
        <w:ind w:left="964" w:right="103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dəyərini müəyyənləşdirmək üçün onun tərkib hissəsini təşkil edən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dəyərinin əlavə olunması.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Xərclə bağlı Mülahizələr</w:t>
      </w:r>
    </w:p>
    <w:p w:rsidR="00D02DD9" w:rsidRPr="009C2EF2" w:rsidRDefault="003C64E0">
      <w:pPr>
        <w:pStyle w:val="a3"/>
        <w:numPr>
          <w:ilvl w:val="1"/>
          <w:numId w:val="72"/>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yanaşmasında tipik </w:t>
      </w:r>
      <w:r w:rsidRPr="009C2EF2">
        <w:rPr>
          <w:rFonts w:ascii="Times New Roman" w:hAnsi="Times New Roman"/>
          <w:i/>
          <w:color w:val="231F20"/>
          <w:sz w:val="24"/>
          <w:szCs w:val="24"/>
          <w:lang w:val="az-Latn-AZ"/>
        </w:rPr>
        <w:t xml:space="preserve">iştirakçı </w:t>
      </w:r>
      <w:r w:rsidRPr="009C2EF2">
        <w:rPr>
          <w:rFonts w:ascii="Times New Roman" w:hAnsi="Times New Roman"/>
          <w:color w:val="231F20"/>
          <w:sz w:val="24"/>
          <w:szCs w:val="24"/>
          <w:lang w:val="az-Latn-AZ"/>
        </w:rPr>
        <w:t xml:space="preserve">tərəfindən çəkilmiş bütün xərclər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elementləri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növündən asılı olaraq dəyişə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 xml:space="preserve">və xərc elementləri qiymətləndirmə tarixinə kimi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yenidən yaradılması/əvəz olunması ilə bağlı tələb olunan birbaşa və ya dolayı xərcləri əhatə </w:t>
      </w:r>
      <w:r w:rsidRPr="009C2EF2">
        <w:rPr>
          <w:rFonts w:ascii="Times New Roman" w:hAnsi="Times New Roman"/>
          <w:i/>
          <w:color w:val="231F20"/>
          <w:spacing w:val="1"/>
          <w:sz w:val="24"/>
          <w:szCs w:val="24"/>
          <w:lang w:val="az-Latn-AZ"/>
        </w:rPr>
        <w:t>etməlidir</w:t>
      </w:r>
      <w:r w:rsidRPr="009C2EF2">
        <w:rPr>
          <w:rFonts w:ascii="Times New Roman" w:hAnsi="Times New Roman"/>
          <w:color w:val="231F20"/>
          <w:sz w:val="24"/>
          <w:szCs w:val="24"/>
          <w:lang w:val="az-Latn-AZ"/>
        </w:rPr>
        <w:t>. Nəzərə alınması vacib olan əsas elementlərə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4000" behindDoc="0" locked="0" layoutInCell="0" allowOverlap="1">
                <wp:simplePos x="0" y="0"/>
                <wp:positionH relativeFrom="page">
                  <wp:posOffset>5276215</wp:posOffset>
                </wp:positionH>
                <wp:positionV relativeFrom="paragraph">
                  <wp:posOffset>64135</wp:posOffset>
                </wp:positionV>
                <wp:extent cx="152400" cy="4004945"/>
                <wp:effectExtent l="0" t="0" r="0" b="0"/>
                <wp:wrapNone/>
                <wp:docPr id="15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4" type="#_x0000_t202" style="position:absolute;left:0;text-align:left;margin-left:415.45pt;margin-top:5.05pt;width:12pt;height:315.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birbaşa xərclər: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materiallar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1F22AE">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əmək</w:t>
      </w:r>
      <w:r w:rsidR="003C64E0" w:rsidRPr="009C2EF2">
        <w:rPr>
          <w:rFonts w:ascii="Times New Roman" w:hAnsi="Times New Roman"/>
          <w:color w:val="231F20"/>
          <w:spacing w:val="-2"/>
          <w:sz w:val="24"/>
          <w:szCs w:val="24"/>
          <w:lang w:val="az-Latn-AZ"/>
        </w:rPr>
        <w:t>haqqı xərcləri.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dolayı xərclər: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nəqliyyat xərcləri,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quraşdırma xərcləri,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xüsusi xidmətlər üçün ödəniş (dizayn, icazə, tikinti, hüquqi məsələlər və s. ilə bağlı ödənişlər),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digər ödənişlər (komisyon haqqı və s.),</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qaimə məsrəfləri,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vergilər,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xərcləri (məsələn, borc öhdəlikləri üzrə faizlər)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72"/>
        </w:numPr>
        <w:tabs>
          <w:tab w:val="left" w:pos="1248"/>
        </w:tabs>
        <w:kinsoku w:val="0"/>
        <w:overflowPunct w:val="0"/>
        <w:spacing w:line="250" w:lineRule="auto"/>
        <w:ind w:left="1247" w:right="1393" w:hanging="283"/>
        <w:rPr>
          <w:rFonts w:ascii="Times New Roman" w:hAnsi="Times New Roman"/>
          <w:color w:val="000000"/>
          <w:sz w:val="24"/>
          <w:szCs w:val="24"/>
          <w:lang w:val="az-Latn-AZ"/>
        </w:rPr>
      </w:pPr>
      <w:r w:rsidRPr="009C2EF2">
        <w:rPr>
          <w:rFonts w:ascii="Times New Roman" w:hAnsi="Times New Roman"/>
          <w:i/>
          <w:color w:val="231F20"/>
          <w:sz w:val="24"/>
          <w:szCs w:val="24"/>
          <w:lang w:val="az-Latn-AZ"/>
        </w:rPr>
        <w:lastRenderedPageBreak/>
        <w:t xml:space="preserve">aktivi </w:t>
      </w:r>
      <w:r w:rsidRPr="009C2EF2">
        <w:rPr>
          <w:rFonts w:ascii="Times New Roman" w:hAnsi="Times New Roman"/>
          <w:color w:val="231F20"/>
          <w:spacing w:val="1"/>
          <w:sz w:val="24"/>
          <w:szCs w:val="24"/>
          <w:lang w:val="az-Latn-AZ"/>
        </w:rPr>
        <w:t>yaradanın mənfəət marjası/sahibkarlıq mənfəəti (məsələn, investorların əldə etdiyi gəlir).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Üçüncü tərəfdən alınmış </w:t>
      </w:r>
      <w:r w:rsidRPr="009C2EF2">
        <w:rPr>
          <w:rFonts w:ascii="Times New Roman" w:hAnsi="Times New Roman"/>
          <w:i/>
          <w:color w:val="231F20"/>
          <w:sz w:val="24"/>
          <w:szCs w:val="24"/>
          <w:lang w:val="az-Latn-AZ"/>
        </w:rPr>
        <w:t xml:space="preserve">aktiv aktivin </w:t>
      </w:r>
      <w:r w:rsidRPr="009C2EF2">
        <w:rPr>
          <w:rFonts w:ascii="Times New Roman" w:hAnsi="Times New Roman"/>
          <w:color w:val="231F20"/>
          <w:spacing w:val="1"/>
          <w:sz w:val="24"/>
          <w:szCs w:val="24"/>
          <w:lang w:val="az-Latn-AZ"/>
        </w:rPr>
        <w:t>yaradılması ilə bağlı xərcləri, eləcə də, investisiya qoyuluşu etməklə mənfəət marjasının bəzi formalarını özündə əks etdirməlidir. Hipotetik əməliyyatı nəzərdə tutan dəyər bazalarına əsasən xərc və dəyər üzrə birdəfəlik ödəniş şəklin</w:t>
      </w:r>
      <w:r w:rsidR="001E366E" w:rsidRPr="009C2EF2">
        <w:rPr>
          <w:rFonts w:ascii="Times New Roman" w:hAnsi="Times New Roman"/>
          <w:color w:val="231F20"/>
          <w:spacing w:val="1"/>
          <w:sz w:val="24"/>
          <w:szCs w:val="24"/>
          <w:lang w:val="az-Latn-AZ"/>
        </w:rPr>
        <w:t>də və ya faiz şəklində qayıdacaq</w:t>
      </w:r>
      <w:r w:rsidRPr="009C2EF2">
        <w:rPr>
          <w:rFonts w:ascii="Times New Roman" w:hAnsi="Times New Roman"/>
          <w:color w:val="231F20"/>
          <w:spacing w:val="1"/>
          <w:sz w:val="24"/>
          <w:szCs w:val="24"/>
          <w:lang w:val="az-Latn-AZ"/>
        </w:rPr>
        <w:t xml:space="preserve"> məqsədli mənfəət kimi özünü göstərən müəyyən xərclər üzrə nəzərdə tutulmuş mənfəət marjasının daxil edilməsi məqsədəuyğun hesab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Lakin maliyyə xərclərində (daxil edildiyi təqdirdə) qoyulmuş kapital üzrə </w:t>
      </w:r>
      <w:r w:rsidRPr="009C2EF2">
        <w:rPr>
          <w:rFonts w:ascii="Times New Roman" w:hAnsi="Times New Roman"/>
          <w:i/>
          <w:color w:val="231F20"/>
          <w:spacing w:val="1"/>
          <w:sz w:val="24"/>
          <w:szCs w:val="24"/>
          <w:lang w:val="az-Latn-AZ"/>
        </w:rPr>
        <w:t xml:space="preserve">iştirakçıların </w:t>
      </w:r>
      <w:r w:rsidRPr="009C2EF2">
        <w:rPr>
          <w:rFonts w:ascii="Times New Roman" w:hAnsi="Times New Roman"/>
          <w:color w:val="231F20"/>
          <w:spacing w:val="1"/>
          <w:sz w:val="24"/>
          <w:szCs w:val="24"/>
          <w:lang w:val="az-Latn-AZ"/>
        </w:rPr>
        <w:t xml:space="preserve">tələb etdiyi gəlir əks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beləliklə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həm maliyyə xərclərini, həm də mənfəət marjasını daxil edərkən diqqətli olmalıdırlar.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Xərclər faktiki və ya üçüncü tərəf tədarükçüləri və ya podratçıları tərəfindən təyin edilmiş və ya hesablanmış qiymətlərdən yarandığı </w:t>
      </w:r>
      <w:r w:rsidR="004E5D77" w:rsidRPr="009C2EF2">
        <w:rPr>
          <w:rFonts w:ascii="Times New Roman" w:hAnsi="Times New Roman"/>
          <w:color w:val="231F20"/>
          <w:spacing w:val="1"/>
          <w:sz w:val="24"/>
          <w:szCs w:val="24"/>
          <w:lang w:val="az-Latn-AZ"/>
        </w:rPr>
        <w:t>təqdirdə</w:t>
      </w:r>
      <w:r w:rsidRPr="009C2EF2">
        <w:rPr>
          <w:rFonts w:ascii="Times New Roman" w:hAnsi="Times New Roman"/>
          <w:color w:val="231F20"/>
          <w:spacing w:val="1"/>
          <w:sz w:val="24"/>
          <w:szCs w:val="24"/>
          <w:lang w:val="az-Latn-AZ"/>
        </w:rPr>
        <w:t xml:space="preserve"> həmin xərclərə üçüncü tərəflərin maraqlı olduğu mənfəət səviyyəsi daxil olmuş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2"/>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aktivin</w:t>
      </w:r>
      <w:r w:rsidRPr="009C2EF2">
        <w:rPr>
          <w:rFonts w:ascii="Times New Roman" w:hAnsi="Times New Roman"/>
          <w:color w:val="231F20"/>
          <w:sz w:val="24"/>
          <w:szCs w:val="24"/>
          <w:lang w:val="az-Latn-AZ"/>
        </w:rPr>
        <w:t xml:space="preserve"> (və ya müqayisəli baza </w:t>
      </w:r>
      <w:r w:rsidRPr="009C2EF2">
        <w:rPr>
          <w:rFonts w:ascii="Times New Roman" w:hAnsi="Times New Roman"/>
          <w:i/>
          <w:color w:val="231F20"/>
          <w:sz w:val="24"/>
          <w:szCs w:val="24"/>
          <w:lang w:val="az-Latn-AZ"/>
        </w:rPr>
        <w:t>aktivləri</w:t>
      </w:r>
      <w:r w:rsidRPr="009C2EF2">
        <w:rPr>
          <w:rFonts w:ascii="Times New Roman" w:hAnsi="Times New Roman"/>
          <w:color w:val="231F20"/>
          <w:sz w:val="24"/>
          <w:szCs w:val="24"/>
          <w:lang w:val="az-Latn-AZ"/>
        </w:rPr>
        <w:t xml:space="preserve">) yaradılması ilə bağlı çəkilmiş faktiki xərclər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uyğun xərc göstəricisini təşkil </w:t>
      </w:r>
      <w:r w:rsidRPr="009C2EF2">
        <w:rPr>
          <w:rFonts w:ascii="Times New Roman" w:hAnsi="Times New Roman"/>
          <w:i/>
          <w:color w:val="231F20"/>
          <w:spacing w:val="-1"/>
          <w:sz w:val="24"/>
          <w:szCs w:val="24"/>
          <w:lang w:val="az-Latn-AZ"/>
        </w:rPr>
        <w:t>edir</w:t>
      </w:r>
      <w:r w:rsidRPr="009C2EF2">
        <w:rPr>
          <w:rFonts w:ascii="Times New Roman" w:hAnsi="Times New Roman"/>
          <w:color w:val="231F20"/>
          <w:sz w:val="24"/>
          <w:szCs w:val="24"/>
          <w:lang w:val="az-Latn-AZ"/>
        </w:rPr>
        <w:t xml:space="preserve">. Lakin aşağıdakıların əks olunması üçün müvafiq tənzimləmələr tələb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45</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5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3808" behindDoc="1" locked="0" layoutInCell="0" allowOverlap="1">
                <wp:simplePos x="0" y="0"/>
                <wp:positionH relativeFrom="page">
                  <wp:posOffset>0</wp:posOffset>
                </wp:positionH>
                <wp:positionV relativeFrom="page">
                  <wp:posOffset>0</wp:posOffset>
                </wp:positionV>
                <wp:extent cx="432435" cy="8424545"/>
                <wp:effectExtent l="0" t="0" r="0" b="0"/>
                <wp:wrapNone/>
                <wp:docPr id="15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1A6231" id="Freeform 111" o:spid="_x0000_s1026" style="position:absolute;margin-left:0;margin-top:0;width:34.05pt;height:663.3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wgSb6GQDAACG&#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1F22AE">
      <w:pPr>
        <w:pStyle w:val="a3"/>
        <w:kinsoku w:val="0"/>
        <w:overflowPunct w:val="0"/>
        <w:spacing w:before="80"/>
        <w:ind w:left="3125" w:right="219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2"/>
          <w:numId w:val="72"/>
        </w:numPr>
        <w:tabs>
          <w:tab w:val="left" w:pos="1815"/>
        </w:tabs>
        <w:kinsoku w:val="0"/>
        <w:overflowPunct w:val="0"/>
        <w:spacing w:before="77" w:line="250" w:lineRule="auto"/>
        <w:ind w:left="1814" w:right="136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bu xərclərin çəkildiyi tarixlə qiymətləndirmə tarixi arasındakı xərc dəyişikliyi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2"/>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məlumatlarında əks olunan, lakin ekvivalentin yaradılmasında müşahidə olunmayan müstəsna xərclər və ya qənaət edilmiş vəsaitlər.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1"/>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Qiymətdən düşmə/Köhnəlmə</w:t>
      </w:r>
    </w:p>
    <w:p w:rsidR="00D02DD9" w:rsidRPr="009C2EF2" w:rsidRDefault="003C64E0">
      <w:pPr>
        <w:pStyle w:val="a3"/>
        <w:numPr>
          <w:ilvl w:val="1"/>
          <w:numId w:val="71"/>
        </w:numPr>
        <w:tabs>
          <w:tab w:val="left" w:pos="1531"/>
        </w:tabs>
        <w:kinsoku w:val="0"/>
        <w:overflowPunct w:val="0"/>
        <w:spacing w:before="122" w:line="250" w:lineRule="auto"/>
        <w:ind w:right="141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yanaşmasına əsasən, "qiymətdən düşmə" qiymətləndirilən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üzərində köhnəlmə dəyərinin təsirini əks etdirmək üçün eyni faydalılığa malik </w:t>
      </w:r>
      <w:r w:rsidRPr="009C2EF2">
        <w:rPr>
          <w:rFonts w:ascii="Times New Roman" w:hAnsi="Times New Roman"/>
          <w:i/>
          <w:color w:val="231F20"/>
          <w:sz w:val="24"/>
          <w:szCs w:val="24"/>
          <w:lang w:val="az-Latn-AZ"/>
        </w:rPr>
        <w:t>aktivin</w:t>
      </w:r>
      <w:r w:rsidRPr="009C2EF2">
        <w:rPr>
          <w:rFonts w:ascii="Times New Roman" w:hAnsi="Times New Roman"/>
          <w:color w:val="231F20"/>
          <w:sz w:val="24"/>
          <w:szCs w:val="24"/>
          <w:lang w:val="az-Latn-AZ"/>
        </w:rPr>
        <w:t xml:space="preserve"> yaradılması zamanı çəkiləcək xərcə edilən düzəlişləri  nəzərdə tutur. Bu</w:t>
      </w:r>
    </w:p>
    <w:p w:rsidR="00D02DD9" w:rsidRPr="009C2EF2" w:rsidRDefault="0075026C">
      <w:pPr>
        <w:pStyle w:val="a3"/>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85024" behindDoc="0" locked="0" layoutInCell="0" allowOverlap="1">
                <wp:simplePos x="0" y="0"/>
                <wp:positionH relativeFrom="page">
                  <wp:posOffset>151130</wp:posOffset>
                </wp:positionH>
                <wp:positionV relativeFrom="paragraph">
                  <wp:posOffset>307340</wp:posOffset>
                </wp:positionV>
                <wp:extent cx="152400" cy="4004945"/>
                <wp:effectExtent l="0" t="0" r="0" b="0"/>
                <wp:wrapNone/>
                <wp:docPr id="15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5" type="#_x0000_t202" style="position:absolute;left:0;text-align:left;margin-left:11.9pt;margin-top:24.2pt;width:12pt;height:315.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G7sAIAALg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məna maliyyə hesabatlarında  və ya vergi qanunvericiliyində kapital xərclərin sistemli şəkildə aparılması metodu kimi verilmiş sözdən fər</w:t>
      </w:r>
      <w:r w:rsidR="004E5D77" w:rsidRPr="009C2EF2">
        <w:rPr>
          <w:rFonts w:ascii="Times New Roman" w:hAnsi="Times New Roman"/>
          <w:color w:val="231F20"/>
          <w:sz w:val="24"/>
          <w:szCs w:val="24"/>
          <w:lang w:val="az-Latn-AZ"/>
        </w:rPr>
        <w:t>q</w:t>
      </w:r>
      <w:r w:rsidR="003C64E0" w:rsidRPr="009C2EF2">
        <w:rPr>
          <w:rFonts w:ascii="Times New Roman" w:hAnsi="Times New Roman"/>
          <w:color w:val="231F20"/>
          <w:sz w:val="24"/>
          <w:szCs w:val="24"/>
          <w:lang w:val="az-Latn-AZ"/>
        </w:rPr>
        <w:t>lənir.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1531"/>
        </w:tabs>
        <w:kinsoku w:val="0"/>
        <w:overflowPunct w:val="0"/>
        <w:spacing w:line="250" w:lineRule="auto"/>
        <w:ind w:right="146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Qiymətdən düşmə ilə bağlı tənzimləmələr, adətən, köhnəlmənin aşağıdakı növləri üçün nəzərdə tutulur və aşağıdakı alt-kateqoriyalara bölünə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spacing w:line="250" w:lineRule="auto"/>
        <w:ind w:left="1814" w:right="179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Fiziki köhnəlmə: Zaman keçdikcə və istifadə olunduqca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və ya komponentlərinin fiziki aşınma nəticəsində öz əhəmiyyətini itirməsi.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spacing w:line="250" w:lineRule="auto"/>
        <w:ind w:left="1814"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Funksional köhnəlmə: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struktur, spesifikasiya və ya texnologiya baxımından əvəzedilməsi ilə müqayisədə səmərəliliyini itirməsi.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Xarici və ya iqtisadi köhnəlmə: Iqtisadi və coğrafi amillərin təsiri</w:t>
      </w:r>
    </w:p>
    <w:p w:rsidR="00D02DD9" w:rsidRPr="009C2EF2" w:rsidRDefault="003C64E0">
      <w:pPr>
        <w:pStyle w:val="a3"/>
        <w:kinsoku w:val="0"/>
        <w:overflowPunct w:val="0"/>
        <w:spacing w:before="9" w:line="250" w:lineRule="auto"/>
        <w:ind w:left="1814" w:right="128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nəticəsində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2"/>
          <w:sz w:val="24"/>
          <w:szCs w:val="24"/>
          <w:lang w:val="az-Latn-AZ"/>
        </w:rPr>
        <w:t>öz dəyərini itirməsi. Bu köhnəlmə növü müvəqqəti və ya daimi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1531"/>
        </w:tabs>
        <w:kinsoku w:val="0"/>
        <w:overflowPunct w:val="0"/>
        <w:spacing w:line="250" w:lineRule="auto"/>
        <w:ind w:right="118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Qiymətdən düşmədə/köhnəlmədə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fiziki və iqtisadi müddəti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Fiziki müddət təmir və ya bərpa işləri nəzərə alınmadan, lakin profilaktik tədbirlərin görüldüyü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istifadəyə yararlı olduğu dövrdür.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spacing w:line="250" w:lineRule="auto"/>
        <w:ind w:left="1814" w:right="175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İqtisadi xidmət müddəti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gəlir gətirə biləcəyi</w:t>
      </w:r>
    </w:p>
    <w:p w:rsidR="00D02DD9" w:rsidRPr="009C2EF2" w:rsidRDefault="003C64E0">
      <w:pPr>
        <w:pStyle w:val="a3"/>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müddətdir. Bu müddətə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məruz qaldığı funksional və ya iqtisadi köhnəlmə təsir edəcək.</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İqtisadi və ya xarici köhnəlmə hallarının bəzilərini çıxmaqla köhnəlmənin əksər növləri qiymətləndirilən </w:t>
      </w:r>
      <w:r w:rsidRPr="009C2EF2">
        <w:rPr>
          <w:rFonts w:ascii="Times New Roman" w:hAnsi="Times New Roman"/>
          <w:i/>
          <w:color w:val="231F20"/>
          <w:sz w:val="24"/>
          <w:szCs w:val="24"/>
          <w:lang w:val="az-Latn-AZ"/>
        </w:rPr>
        <w:t xml:space="preserve">aktivlə </w:t>
      </w:r>
      <w:r w:rsidRPr="009C2EF2">
        <w:rPr>
          <w:rFonts w:ascii="Times New Roman" w:hAnsi="Times New Roman"/>
          <w:color w:val="231F20"/>
          <w:sz w:val="24"/>
          <w:szCs w:val="24"/>
          <w:lang w:val="az-Latn-AZ"/>
        </w:rPr>
        <w:t xml:space="preserve">əvəzetmə və ya təkrar istehsal xərclərinin əsaslandığı hipotetik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müqayisə etməklə müəyyən edilir. Lakin, dəyər üzərində köhnəlməni göstərən bazar sübutu olduqda həmin sübut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Fiziki köhnəlmə iki üsulla müəyyən edilir: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1"/>
        </w:numPr>
        <w:tabs>
          <w:tab w:val="left" w:pos="1815"/>
        </w:tabs>
        <w:kinsoku w:val="0"/>
        <w:overflowPunct w:val="0"/>
        <w:spacing w:line="250" w:lineRule="auto"/>
        <w:ind w:left="1814" w:right="2419"/>
        <w:rPr>
          <w:rFonts w:ascii="Times New Roman" w:hAnsi="Times New Roman"/>
          <w:color w:val="000000"/>
          <w:sz w:val="24"/>
          <w:szCs w:val="24"/>
          <w:lang w:val="az-Latn-AZ"/>
        </w:rPr>
      </w:pPr>
      <w:r w:rsidRPr="009C2EF2">
        <w:rPr>
          <w:rFonts w:ascii="Times New Roman" w:hAnsi="Times New Roman"/>
          <w:color w:val="231F20"/>
          <w:sz w:val="24"/>
          <w:szCs w:val="24"/>
          <w:lang w:val="az-Latn-AZ"/>
        </w:rPr>
        <w:t>Bərpa olunan fiziki köhnəlmə, məsələn, köhnəlmənin bərpası üçün çəkilən xərc və ya</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4"/>
        <w:ind w:left="0"/>
        <w:rPr>
          <w:rFonts w:ascii="Times New Roman" w:hAnsi="Times New Roman"/>
          <w:sz w:val="24"/>
          <w:szCs w:val="24"/>
          <w:lang w:val="az-Latn-AZ"/>
        </w:rPr>
      </w:pPr>
    </w:p>
    <w:p w:rsidR="00D02DD9" w:rsidRPr="009C2EF2" w:rsidRDefault="003C64E0">
      <w:pPr>
        <w:pStyle w:val="a3"/>
        <w:kinsoku w:val="0"/>
        <w:overflowPunct w:val="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46</w:t>
      </w:r>
    </w:p>
    <w:p w:rsidR="00D02DD9" w:rsidRPr="009C2EF2" w:rsidRDefault="00D02DD9">
      <w:pPr>
        <w:pStyle w:val="a3"/>
        <w:kinsoku w:val="0"/>
        <w:overflowPunct w:val="0"/>
        <w:ind w:left="4185" w:right="4350"/>
        <w:jc w:val="center"/>
        <w:rPr>
          <w:rFonts w:ascii="Times New Roman" w:hAnsi="Times New Roman"/>
          <w:color w:val="000000"/>
          <w:sz w:val="24"/>
          <w:szCs w:val="24"/>
          <w:lang w:val="az-Latn-AZ"/>
        </w:rPr>
        <w:sectPr w:rsidR="00D02DD9" w:rsidRPr="009C2EF2">
          <w:footerReference w:type="default" r:id="rId5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483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5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60210E" id="Freeform 113" o:spid="_x0000_s1026" style="position:absolute;margin-left:408.15pt;margin-top:0;width:34pt;height:663.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BMfA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790" w:right="3637"/>
        <w:jc w:val="center"/>
        <w:rPr>
          <w:rFonts w:ascii="Times New Roman" w:hAnsi="Times New Roman"/>
          <w:color w:val="000000"/>
          <w:sz w:val="24"/>
          <w:szCs w:val="24"/>
          <w:lang w:val="az-Latn-AZ"/>
        </w:rPr>
      </w:pPr>
      <w:r w:rsidRPr="009C2EF2">
        <w:rPr>
          <w:rFonts w:ascii="Times New Roman" w:hAnsi="Times New Roman"/>
          <w:i/>
          <w:color w:val="231F20"/>
          <w:spacing w:val="2"/>
          <w:sz w:val="24"/>
          <w:szCs w:val="24"/>
          <w:lang w:val="az-Latn-AZ"/>
        </w:rPr>
        <w:t>Əsas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71"/>
        </w:numPr>
        <w:tabs>
          <w:tab w:val="left" w:pos="965"/>
        </w:tabs>
        <w:kinsoku w:val="0"/>
        <w:overflowPunct w:val="0"/>
        <w:spacing w:before="77"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fiziki köhnəlmə üzrə tənzimləmənin gözlənilən ümumi müddətin istismar olunduğu hissəsinə uyğun olduğu halda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istismar olunduğu müddətin, gözlənilən müddətinin və qalan müddətinin nəzərə alındığı bərpa olunmayan fiziki köhnəlmə. Ümumi gözlənilən müddət müxtəlif - il, məsafə, istehsal vahidi və s. şəkildə ifadə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Funksional köhnəlmənin iki forması var: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1"/>
        </w:numPr>
        <w:tabs>
          <w:tab w:val="left" w:pos="965"/>
        </w:tabs>
        <w:kinsoku w:val="0"/>
        <w:overflowPunct w:val="0"/>
        <w:spacing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kapital xərci qiymətləndirilən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ilə müqayisədə daha az olan müasir ekvivalent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yaradılması ilə nəticələnən struktur, tikinti materialları, texnika və ya istehsal texnologiyalarında edilmiş dəyişikliklər nəticəsində yaranan əlavə kapital xərcləri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71"/>
        </w:numPr>
        <w:tabs>
          <w:tab w:val="left" w:pos="965"/>
        </w:tabs>
        <w:kinsoku w:val="0"/>
        <w:overflowPunct w:val="0"/>
        <w:spacing w:line="250" w:lineRule="auto"/>
        <w:ind w:left="964" w:right="1101"/>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6048" behindDoc="0" locked="0" layoutInCell="0" allowOverlap="1">
                <wp:simplePos x="0" y="0"/>
                <wp:positionH relativeFrom="page">
                  <wp:posOffset>5276215</wp:posOffset>
                </wp:positionH>
                <wp:positionV relativeFrom="paragraph">
                  <wp:posOffset>-1270</wp:posOffset>
                </wp:positionV>
                <wp:extent cx="152400" cy="4004945"/>
                <wp:effectExtent l="0" t="0" r="0" b="0"/>
                <wp:wrapNone/>
                <wp:docPr id="1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00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6" type="#_x0000_t202" style="position:absolute;left:0;text-align:left;margin-left:415.45pt;margin-top:-.1pt;width:12pt;height:315.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2"/>
                          <w:w w:val="97"/>
                          <w:sz w:val="20"/>
                          <w:szCs w:val="24"/>
                          <w:lang w:val="az-Latn-AZ"/>
                        </w:rPr>
                        <w:t>Əsas Standartlar – BQS 105 Qiymətləndirmə Yanaşmaları və Metodları</w:t>
                      </w:r>
                    </w:p>
                  </w:txbxContent>
                </v:textbox>
                <w10:wrap anchorx="page"/>
              </v:shape>
            </w:pict>
          </mc:Fallback>
        </mc:AlternateContent>
      </w:r>
      <w:r w:rsidR="003C64E0" w:rsidRPr="009C2EF2">
        <w:rPr>
          <w:rFonts w:ascii="Times New Roman" w:hAnsi="Times New Roman"/>
          <w:color w:val="231F20"/>
          <w:sz w:val="24"/>
          <w:szCs w:val="24"/>
          <w:lang w:val="az-Latn-AZ"/>
        </w:rPr>
        <w:t xml:space="preserve">əməliyyat xərci qiymətləndirilən </w:t>
      </w:r>
      <w:r w:rsidR="003C64E0" w:rsidRPr="009C2EF2">
        <w:rPr>
          <w:rFonts w:ascii="Times New Roman" w:hAnsi="Times New Roman"/>
          <w:i/>
          <w:color w:val="231F20"/>
          <w:spacing w:val="-1"/>
          <w:sz w:val="24"/>
          <w:szCs w:val="24"/>
          <w:lang w:val="az-Latn-AZ"/>
        </w:rPr>
        <w:t xml:space="preserve">aktiv </w:t>
      </w:r>
      <w:r w:rsidR="003C64E0" w:rsidRPr="009C2EF2">
        <w:rPr>
          <w:rFonts w:ascii="Times New Roman" w:hAnsi="Times New Roman"/>
          <w:color w:val="231F20"/>
          <w:sz w:val="24"/>
          <w:szCs w:val="24"/>
          <w:lang w:val="az-Latn-AZ"/>
        </w:rPr>
        <w:t xml:space="preserve">ilə müqayisədə daha az olan cari ekvivalent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yaranması ilə nəticələnən  strukturun təkmilləşdirilməsi və ya əlavə istehsal gücünün tətbiqi nəticəsində yaranan əlavə əməliyyat xərci.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1"/>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İqtisadi köhnəlmə xarici amillərin fərdi </w:t>
      </w:r>
      <w:r w:rsidRPr="009C2EF2">
        <w:rPr>
          <w:rFonts w:ascii="Times New Roman" w:hAnsi="Times New Roman"/>
          <w:i/>
          <w:color w:val="231F20"/>
          <w:spacing w:val="-1"/>
          <w:sz w:val="24"/>
          <w:szCs w:val="24"/>
          <w:lang w:val="az-Latn-AZ"/>
        </w:rPr>
        <w:t>aktiv</w:t>
      </w:r>
    </w:p>
    <w:p w:rsidR="00D02DD9" w:rsidRPr="009C2EF2" w:rsidRDefault="003C64E0">
      <w:pPr>
        <w:pStyle w:val="a3"/>
        <w:kinsoku w:val="0"/>
        <w:overflowPunct w:val="0"/>
        <w:spacing w:before="9"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və ya müəssisədə istifadə olunan bütün növ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 xml:space="preserve">təsiri nəticəsində yarana </w:t>
      </w:r>
      <w:r w:rsidRPr="009C2EF2">
        <w:rPr>
          <w:rFonts w:ascii="Times New Roman" w:hAnsi="Times New Roman"/>
          <w:i/>
          <w:color w:val="231F20"/>
          <w:sz w:val="24"/>
          <w:szCs w:val="24"/>
          <w:lang w:val="az-Latn-AZ"/>
        </w:rPr>
        <w:t xml:space="preserve">bilər </w:t>
      </w:r>
      <w:r w:rsidRPr="009C2EF2">
        <w:rPr>
          <w:rFonts w:ascii="Times New Roman" w:hAnsi="Times New Roman"/>
          <w:color w:val="231F20"/>
          <w:sz w:val="24"/>
          <w:szCs w:val="24"/>
          <w:lang w:val="az-Latn-AZ"/>
        </w:rPr>
        <w:t xml:space="preserve">və fiziki aşınma və funksional köhnəlmədən sonra </w:t>
      </w:r>
      <w:r w:rsidRPr="009C2EF2">
        <w:rPr>
          <w:rFonts w:ascii="Times New Roman" w:hAnsi="Times New Roman"/>
          <w:i/>
          <w:color w:val="231F20"/>
          <w:spacing w:val="1"/>
          <w:sz w:val="24"/>
          <w:szCs w:val="24"/>
          <w:lang w:val="az-Latn-AZ"/>
        </w:rPr>
        <w:t>çıxılmalıdır</w:t>
      </w:r>
      <w:r w:rsidRPr="009C2EF2">
        <w:rPr>
          <w:rFonts w:ascii="Times New Roman" w:hAnsi="Times New Roman"/>
          <w:color w:val="231F20"/>
          <w:sz w:val="24"/>
          <w:szCs w:val="24"/>
          <w:lang w:val="az-Latn-AZ"/>
        </w:rPr>
        <w:t>. Daşınmaz əmlak üzrə iqtisadi köhnəlməyə aşağıdakılar misal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yaratdığı məhsul və ya xidmətlər üzrə tələbdə mənfi dəyişikliklər,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bazarda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bolluğu,</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işçi qüvvəsi və ya xammal təchizatının pozulması və ya itirilməsi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71"/>
        </w:numPr>
        <w:tabs>
          <w:tab w:val="left" w:pos="965"/>
        </w:tabs>
        <w:kinsoku w:val="0"/>
        <w:overflowPunct w:val="0"/>
        <w:spacing w:line="250" w:lineRule="auto"/>
        <w:ind w:left="964" w:right="1270"/>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bazar icarə haqqını ödəyə bilməyən və hələdə bazarın gəlir dərəcəsini yarada bilməyən müəssisə tərəfindən istifadə olunan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4E5D77">
      <w:pPr>
        <w:pStyle w:val="a3"/>
        <w:numPr>
          <w:ilvl w:val="1"/>
          <w:numId w:val="71"/>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Nağd</w:t>
      </w:r>
      <w:r w:rsidR="003C64E0" w:rsidRPr="009C2EF2">
        <w:rPr>
          <w:rFonts w:ascii="Times New Roman" w:hAnsi="Times New Roman"/>
          <w:color w:val="231F20"/>
          <w:sz w:val="24"/>
          <w:szCs w:val="24"/>
          <w:lang w:val="az-Latn-AZ"/>
        </w:rPr>
        <w:t xml:space="preserve"> və </w:t>
      </w:r>
      <w:r w:rsidRPr="009C2EF2">
        <w:rPr>
          <w:rFonts w:ascii="Times New Roman" w:hAnsi="Times New Roman"/>
          <w:color w:val="231F20"/>
          <w:sz w:val="24"/>
          <w:szCs w:val="24"/>
          <w:lang w:val="az-Latn-AZ"/>
        </w:rPr>
        <w:t>nağd</w:t>
      </w:r>
      <w:r w:rsidR="003C64E0" w:rsidRPr="009C2EF2">
        <w:rPr>
          <w:rFonts w:ascii="Times New Roman" w:hAnsi="Times New Roman"/>
          <w:color w:val="231F20"/>
          <w:sz w:val="24"/>
          <w:szCs w:val="24"/>
          <w:lang w:val="az-Latn-AZ"/>
        </w:rPr>
        <w:t xml:space="preserve"> ekvivalentlər köhnəlmir və tənzimlənmir. Satılabilən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bazar yanaşması əsasında müəyyənləşdirilən bazar dəyərindən aşağı olmur.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2" w:right="3725"/>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47</w:t>
      </w:r>
    </w:p>
    <w:p w:rsidR="00D02DD9" w:rsidRPr="009C2EF2" w:rsidRDefault="00D02DD9">
      <w:pPr>
        <w:pStyle w:val="a3"/>
        <w:kinsoku w:val="0"/>
        <w:overflowPunct w:val="0"/>
        <w:spacing w:before="80"/>
        <w:ind w:left="2872" w:right="3725"/>
        <w:jc w:val="center"/>
        <w:rPr>
          <w:rFonts w:ascii="Times New Roman" w:hAnsi="Times New Roman"/>
          <w:color w:val="000000"/>
          <w:sz w:val="24"/>
          <w:szCs w:val="24"/>
          <w:lang w:val="az-Latn-AZ"/>
        </w:rPr>
        <w:sectPr w:rsidR="00D02DD9" w:rsidRPr="009C2EF2">
          <w:footerReference w:type="default" r:id="rId53"/>
          <w:pgSz w:w="8850" w:h="13270"/>
          <w:pgMar w:top="0" w:right="0" w:bottom="0" w:left="1020" w:header="0" w:footer="0" w:gutter="0"/>
          <w:cols w:space="720" w:equalWidth="0">
            <w:col w:w="7830"/>
          </w:cols>
        </w:sect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4"/>
        <w:ind w:left="0"/>
        <w:rPr>
          <w:rFonts w:ascii="Times New Roman" w:hAnsi="Times New Roman"/>
          <w:sz w:val="24"/>
          <w:szCs w:val="24"/>
          <w:lang w:val="az-Latn-AZ"/>
        </w:rPr>
      </w:pPr>
    </w:p>
    <w:p w:rsidR="00D02DD9" w:rsidRPr="009C2EF2" w:rsidRDefault="003C64E0">
      <w:pPr>
        <w:pStyle w:val="a3"/>
        <w:kinsoku w:val="0"/>
        <w:overflowPunct w:val="0"/>
        <w:ind w:left="182" w:right="347"/>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48</w:t>
      </w:r>
    </w:p>
    <w:p w:rsidR="00D02DD9" w:rsidRPr="009C2EF2" w:rsidRDefault="00D02DD9">
      <w:pPr>
        <w:pStyle w:val="a3"/>
        <w:kinsoku w:val="0"/>
        <w:overflowPunct w:val="0"/>
        <w:ind w:left="182" w:right="347"/>
        <w:jc w:val="center"/>
        <w:rPr>
          <w:rFonts w:ascii="Times New Roman" w:hAnsi="Times New Roman"/>
          <w:color w:val="000000"/>
          <w:sz w:val="24"/>
          <w:szCs w:val="24"/>
          <w:lang w:val="az-Latn-AZ"/>
        </w:rPr>
        <w:sectPr w:rsidR="00D02DD9" w:rsidRPr="009C2EF2">
          <w:footerReference w:type="default" r:id="rId54"/>
          <w:pgSz w:w="8850" w:h="13270"/>
          <w:pgMar w:top="1240" w:right="1220" w:bottom="0" w:left="1220" w:header="0" w:footer="0" w:gutter="0"/>
          <w:cols w:space="720" w:equalWidth="0">
            <w:col w:w="641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5856" behindDoc="1" locked="0" layoutInCell="0" allowOverlap="1">
                <wp:simplePos x="0" y="0"/>
                <wp:positionH relativeFrom="page">
                  <wp:posOffset>5183505</wp:posOffset>
                </wp:positionH>
                <wp:positionV relativeFrom="page">
                  <wp:posOffset>0</wp:posOffset>
                </wp:positionV>
                <wp:extent cx="431800" cy="8423910"/>
                <wp:effectExtent l="0" t="0" r="0" b="0"/>
                <wp:wrapNone/>
                <wp:docPr id="15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53D867" id="Freeform 115" o:spid="_x0000_s1026" style="position:absolute;margin-left:408.15pt;margin-top:0;width:34pt;height:663.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vL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0s6ry3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bookmarkStart w:id="9" w:name="bookmark8"/>
      <w:bookmarkEnd w:id="9"/>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spacing w:before="11"/>
        <w:ind w:left="0"/>
        <w:rPr>
          <w:rFonts w:ascii="Times New Roman" w:hAnsi="Times New Roman"/>
          <w:i/>
          <w:sz w:val="24"/>
          <w:szCs w:val="24"/>
          <w:lang w:val="az-Latn-AZ"/>
        </w:rPr>
      </w:pPr>
    </w:p>
    <w:p w:rsidR="00D02DD9" w:rsidRPr="009C2EF2" w:rsidRDefault="003C64E0">
      <w:pPr>
        <w:pStyle w:val="Heading11"/>
        <w:kinsoku w:val="0"/>
        <w:overflowPunct w:val="0"/>
        <w:spacing w:before="49"/>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Aktiv üzrə Standartlar</w:t>
      </w: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75026C">
      <w:pPr>
        <w:pStyle w:val="a3"/>
        <w:kinsoku w:val="0"/>
        <w:overflowPunct w:val="0"/>
        <w:spacing w:before="299"/>
        <w:ind w:left="113"/>
        <w:rPr>
          <w:rFonts w:ascii="Times New Roman" w:hAnsi="Times New Roman"/>
          <w:color w:val="000000"/>
          <w:sz w:val="24"/>
          <w:szCs w:val="24"/>
          <w:lang w:val="az-Latn-AZ"/>
        </w:rPr>
      </w:pPr>
      <w:r w:rsidRPr="009C2EF2">
        <w:rPr>
          <w:rFonts w:ascii="Times New Roman" w:hAnsi="Times New Roman"/>
          <w:b/>
          <w:noProof/>
          <w:sz w:val="24"/>
          <w:szCs w:val="24"/>
          <w:lang w:val="ru-RU" w:eastAsia="ru-RU"/>
        </w:rPr>
        <mc:AlternateContent>
          <mc:Choice Requires="wps">
            <w:drawing>
              <wp:anchor distT="0" distB="0" distL="114300" distR="114300" simplePos="0" relativeHeight="251587072" behindDoc="0" locked="0" layoutInCell="0" allowOverlap="1">
                <wp:simplePos x="0" y="0"/>
                <wp:positionH relativeFrom="page">
                  <wp:posOffset>5276215</wp:posOffset>
                </wp:positionH>
                <wp:positionV relativeFrom="paragraph">
                  <wp:posOffset>85725</wp:posOffset>
                </wp:positionV>
                <wp:extent cx="152400" cy="3830320"/>
                <wp:effectExtent l="0" t="0" r="0" b="0"/>
                <wp:wrapNone/>
                <wp:docPr id="1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7" type="#_x0000_t202" style="position:absolute;left:0;text-align:left;margin-left:415.45pt;margin-top:6.75pt;width:12pt;height:301.6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masgIAALU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b/>
          <w:color w:val="231F20"/>
          <w:spacing w:val="-1"/>
          <w:sz w:val="24"/>
          <w:szCs w:val="24"/>
          <w:lang w:val="az-Latn-AZ"/>
        </w:rPr>
        <w:t>BQS 200 Müəssisələr və Müəssisənin İştirak Payları</w:t>
      </w:r>
    </w:p>
    <w:p w:rsidR="00D02DD9" w:rsidRPr="009C2EF2" w:rsidRDefault="00D02DD9">
      <w:pPr>
        <w:pStyle w:val="a3"/>
        <w:kinsoku w:val="0"/>
        <w:overflowPunct w:val="0"/>
        <w:spacing w:before="5"/>
        <w:ind w:left="0"/>
        <w:rPr>
          <w:rFonts w:ascii="Times New Roman" w:hAnsi="Times New Roman"/>
          <w:b/>
          <w:sz w:val="24"/>
          <w:szCs w:val="24"/>
          <w:lang w:val="az-Latn-AZ"/>
        </w:rPr>
      </w:pPr>
    </w:p>
    <w:tbl>
      <w:tblPr>
        <w:tblW w:w="0" w:type="auto"/>
        <w:tblInd w:w="114" w:type="dxa"/>
        <w:tblLayout w:type="fixed"/>
        <w:tblCellMar>
          <w:left w:w="0" w:type="dxa"/>
          <w:right w:w="0" w:type="dxa"/>
        </w:tblCellMar>
        <w:tblLook w:val="04A0" w:firstRow="1" w:lastRow="0" w:firstColumn="1" w:lastColumn="0" w:noHBand="0" w:noVBand="1"/>
      </w:tblPr>
      <w:tblGrid>
        <w:gridCol w:w="5371"/>
        <w:gridCol w:w="1375"/>
      </w:tblGrid>
      <w:tr w:rsidR="00D02DD9" w:rsidRPr="009C2EF2">
        <w:trPr>
          <w:trHeight w:hRule="exact" w:val="805"/>
        </w:trPr>
        <w:tc>
          <w:tcPr>
            <w:tcW w:w="5371" w:type="dxa"/>
            <w:tcBorders>
              <w:top w:val="nil"/>
              <w:left w:val="nil"/>
              <w:bottom w:val="nil"/>
              <w:right w:val="nil"/>
            </w:tcBorders>
            <w:shd w:val="clear" w:color="auto" w:fill="E6E7E8"/>
          </w:tcPr>
          <w:p w:rsidR="00D02DD9" w:rsidRPr="009C2EF2" w:rsidRDefault="00D02DD9">
            <w:pPr>
              <w:pStyle w:val="TableParagraph"/>
              <w:kinsoku w:val="0"/>
              <w:overflowPunct w:val="0"/>
              <w:spacing w:before="8"/>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375" w:type="dxa"/>
            <w:tcBorders>
              <w:top w:val="nil"/>
              <w:left w:val="nil"/>
              <w:bottom w:val="nil"/>
              <w:right w:val="nil"/>
            </w:tcBorders>
            <w:shd w:val="clear" w:color="auto" w:fill="E6E7E8"/>
          </w:tcPr>
          <w:p w:rsidR="00D02DD9" w:rsidRPr="009C2EF2" w:rsidRDefault="00D02DD9">
            <w:pPr>
              <w:pStyle w:val="TableParagraph"/>
              <w:kinsoku w:val="0"/>
              <w:overflowPunct w:val="0"/>
              <w:spacing w:before="8"/>
              <w:rPr>
                <w:b/>
                <w:sz w:val="24"/>
                <w:szCs w:val="24"/>
                <w:lang w:val="az-Latn-AZ"/>
              </w:rPr>
            </w:pPr>
          </w:p>
          <w:p w:rsidR="00D02DD9" w:rsidRPr="009C2EF2" w:rsidRDefault="003C64E0">
            <w:pPr>
              <w:pStyle w:val="TableParagraph"/>
              <w:kinsoku w:val="0"/>
              <w:overflowPunct w:val="0"/>
              <w:ind w:left="81"/>
              <w:rPr>
                <w:color w:val="000000"/>
                <w:sz w:val="24"/>
                <w:szCs w:val="24"/>
                <w:lang w:val="az-Latn-AZ"/>
              </w:rPr>
            </w:pPr>
            <w:r w:rsidRPr="009C2EF2">
              <w:rPr>
                <w:b/>
                <w:color w:val="231F20"/>
                <w:spacing w:val="1"/>
                <w:sz w:val="24"/>
                <w:szCs w:val="24"/>
                <w:lang w:val="az-Latn-AZ"/>
              </w:rPr>
              <w:t>Bəndlər</w:t>
            </w:r>
          </w:p>
          <w:p w:rsidR="00D02DD9" w:rsidRPr="009C2EF2" w:rsidRDefault="003C64E0">
            <w:pPr>
              <w:pStyle w:val="TableParagraph"/>
              <w:kinsoku w:val="0"/>
              <w:overflowPunct w:val="0"/>
              <w:spacing w:before="122"/>
              <w:ind w:left="895"/>
              <w:rPr>
                <w:sz w:val="24"/>
                <w:szCs w:val="24"/>
                <w:lang w:val="az-Latn-AZ"/>
              </w:rPr>
            </w:pPr>
            <w:r w:rsidRPr="009C2EF2">
              <w:rPr>
                <w:color w:val="231F20"/>
                <w:spacing w:val="-3"/>
                <w:sz w:val="24"/>
                <w:szCs w:val="24"/>
                <w:lang w:val="az-Latn-AZ"/>
              </w:rPr>
              <w:t>10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9"/>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7"/>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8"/>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8"/>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7"/>
              <w:rPr>
                <w:sz w:val="24"/>
                <w:szCs w:val="24"/>
                <w:lang w:val="az-Latn-AZ"/>
              </w:rPr>
            </w:pPr>
            <w:r w:rsidRPr="009C2EF2">
              <w:rPr>
                <w:color w:val="231F20"/>
                <w:spacing w:val="4"/>
                <w:sz w:val="24"/>
                <w:szCs w:val="24"/>
                <w:lang w:val="az-Latn-AZ"/>
              </w:rPr>
              <w:t>60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93"/>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Müəssisələr və Müəssisənin İştirak Payları haqqında Xüsusi Mülahizələr</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7"/>
              <w:rPr>
                <w:sz w:val="24"/>
                <w:szCs w:val="24"/>
                <w:lang w:val="az-Latn-AZ"/>
              </w:rPr>
            </w:pPr>
            <w:r w:rsidRPr="009C2EF2">
              <w:rPr>
                <w:color w:val="231F20"/>
                <w:spacing w:val="4"/>
                <w:sz w:val="24"/>
                <w:szCs w:val="24"/>
                <w:lang w:val="az-Latn-AZ"/>
              </w:rPr>
              <w:t>80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Mülkiyyət Hüquqları</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85"/>
              <w:rPr>
                <w:sz w:val="24"/>
                <w:szCs w:val="24"/>
                <w:lang w:val="az-Latn-AZ"/>
              </w:rPr>
            </w:pPr>
            <w:r w:rsidRPr="009C2EF2">
              <w:rPr>
                <w:color w:val="231F20"/>
                <w:spacing w:val="2"/>
                <w:sz w:val="24"/>
                <w:szCs w:val="24"/>
                <w:lang w:val="az-Latn-AZ"/>
              </w:rPr>
              <w:t>90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Biznes haqqında məlumat</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790"/>
              <w:rPr>
                <w:sz w:val="24"/>
                <w:szCs w:val="24"/>
                <w:lang w:val="az-Latn-AZ"/>
              </w:rPr>
            </w:pPr>
            <w:r w:rsidRPr="009C2EF2">
              <w:rPr>
                <w:color w:val="231F20"/>
                <w:sz w:val="24"/>
                <w:szCs w:val="24"/>
                <w:lang w:val="az-Latn-AZ"/>
              </w:rPr>
              <w:t>100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İqtisadiyyat və Sənayeyə dair Mülahizələr</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810"/>
              <w:rPr>
                <w:sz w:val="24"/>
                <w:szCs w:val="24"/>
                <w:lang w:val="az-Latn-AZ"/>
              </w:rPr>
            </w:pPr>
            <w:r w:rsidRPr="009C2EF2">
              <w:rPr>
                <w:color w:val="231F20"/>
                <w:spacing w:val="-7"/>
                <w:sz w:val="24"/>
                <w:szCs w:val="24"/>
                <w:lang w:val="az-Latn-AZ"/>
              </w:rPr>
              <w:t>110</w:t>
            </w:r>
          </w:p>
        </w:tc>
      </w:tr>
      <w:tr w:rsidR="00D02DD9" w:rsidRPr="009C2EF2">
        <w:trPr>
          <w:trHeight w:hRule="exact" w:val="273"/>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Əməliyyat və Qeyri-Əməliyyat Aktivləri</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796"/>
              <w:rPr>
                <w:sz w:val="24"/>
                <w:szCs w:val="24"/>
                <w:lang w:val="az-Latn-AZ"/>
              </w:rPr>
            </w:pPr>
            <w:r w:rsidRPr="009C2EF2">
              <w:rPr>
                <w:color w:val="231F20"/>
                <w:spacing w:val="-2"/>
                <w:sz w:val="24"/>
                <w:szCs w:val="24"/>
                <w:lang w:val="az-Latn-AZ"/>
              </w:rPr>
              <w:t>120</w:t>
            </w:r>
          </w:p>
        </w:tc>
      </w:tr>
      <w:tr w:rsidR="00D02DD9" w:rsidRPr="009C2EF2">
        <w:trPr>
          <w:trHeight w:hRule="exact" w:val="475"/>
        </w:trPr>
        <w:tc>
          <w:tcPr>
            <w:tcW w:w="5371"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Kapital Strukturu ilə bağlı Mülahizələr</w:t>
            </w:r>
          </w:p>
        </w:tc>
        <w:tc>
          <w:tcPr>
            <w:tcW w:w="1375"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794"/>
              <w:rPr>
                <w:sz w:val="24"/>
                <w:szCs w:val="24"/>
                <w:lang w:val="az-Latn-AZ"/>
              </w:rPr>
            </w:pPr>
            <w:r w:rsidRPr="009C2EF2">
              <w:rPr>
                <w:color w:val="231F20"/>
                <w:spacing w:val="-2"/>
                <w:sz w:val="24"/>
                <w:szCs w:val="24"/>
                <w:lang w:val="az-Latn-AZ"/>
              </w:rPr>
              <w:t>130</w:t>
            </w:r>
          </w:p>
        </w:tc>
      </w:tr>
    </w:tbl>
    <w:p w:rsidR="00D02DD9" w:rsidRPr="009C2EF2" w:rsidRDefault="00D02DD9">
      <w:pPr>
        <w:pStyle w:val="a3"/>
        <w:kinsoku w:val="0"/>
        <w:overflowPunct w:val="0"/>
        <w:spacing w:before="3"/>
        <w:ind w:left="0"/>
        <w:rPr>
          <w:rFonts w:ascii="Times New Roman" w:hAnsi="Times New Roman"/>
          <w:b/>
          <w:sz w:val="24"/>
          <w:szCs w:val="24"/>
          <w:lang w:val="az-Latn-AZ"/>
        </w:rPr>
      </w:pPr>
    </w:p>
    <w:p w:rsidR="00D02DD9" w:rsidRPr="009C2EF2" w:rsidRDefault="003C64E0">
      <w:pPr>
        <w:pStyle w:val="Heading41"/>
        <w:numPr>
          <w:ilvl w:val="0"/>
          <w:numId w:val="70"/>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İcmal</w:t>
      </w:r>
    </w:p>
    <w:p w:rsidR="00D02DD9" w:rsidRPr="009C2EF2" w:rsidRDefault="003C64E0">
      <w:pPr>
        <w:pStyle w:val="a3"/>
        <w:numPr>
          <w:ilvl w:val="1"/>
          <w:numId w:val="70"/>
        </w:numPr>
        <w:tabs>
          <w:tab w:val="left" w:pos="681"/>
        </w:tabs>
        <w:kinsoku w:val="0"/>
        <w:overflowPunct w:val="0"/>
        <w:spacing w:before="122" w:line="250" w:lineRule="auto"/>
        <w:ind w:left="680" w:right="1351"/>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Standartlarda verilmiş prinsiplər müəssisələr və Müəssisənin İştirak Paylarının qiymətləndirilməsində tətbiq olunur. Bu standartda</w:t>
      </w:r>
    </w:p>
    <w:p w:rsidR="00D02DD9" w:rsidRPr="009C2EF2" w:rsidRDefault="003C64E0">
      <w:pPr>
        <w:pStyle w:val="a3"/>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müəssisələr və Müəssisənin İştirak Paylarının qiymətləndirilməsi ilə bağlı əlavə tələblər də verilib.</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6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69"/>
        </w:numPr>
        <w:tabs>
          <w:tab w:val="left" w:pos="681"/>
        </w:tabs>
        <w:kinsoku w:val="0"/>
        <w:overflowPunct w:val="0"/>
        <w:spacing w:before="122"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tərifi </w:t>
      </w:r>
      <w:r w:rsidRPr="009C2EF2">
        <w:rPr>
          <w:rFonts w:ascii="Times New Roman" w:hAnsi="Times New Roman"/>
          <w:i/>
          <w:color w:val="231F20"/>
          <w:spacing w:val="1"/>
          <w:sz w:val="24"/>
          <w:szCs w:val="24"/>
          <w:lang w:val="az-Latn-AZ"/>
        </w:rPr>
        <w:t>qiymətləndirmənin məqsədindən</w:t>
      </w:r>
      <w:r w:rsidRPr="009C2EF2">
        <w:rPr>
          <w:rFonts w:ascii="Times New Roman" w:hAnsi="Times New Roman"/>
          <w:color w:val="231F20"/>
          <w:sz w:val="24"/>
          <w:szCs w:val="24"/>
          <w:lang w:val="az-Latn-AZ"/>
        </w:rPr>
        <w:t xml:space="preserve"> asılı olaraq dəyişə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Lakin, ümumilikdə müəssisə kommersiya, sənaye, xidmət və ya investisiya fəaliyyətləri </w:t>
      </w:r>
      <w:r w:rsidRPr="009C2EF2">
        <w:rPr>
          <w:rFonts w:ascii="Times New Roman" w:hAnsi="Times New Roman"/>
          <w:color w:val="231F20"/>
          <w:sz w:val="24"/>
          <w:szCs w:val="24"/>
          <w:lang w:val="az-Latn-AZ"/>
        </w:rPr>
        <w:lastRenderedPageBreak/>
        <w:t xml:space="preserve">ilə məşğul olur. Biznes müxtəlif formalarda - korporasiya, əməkdaşlıq, müştərək müəssisə və fərdi sahibkarlıq şəklində ola bilər. Müəssisənin dəyəri onu təşkil edən fərdi </w:t>
      </w:r>
      <w:r w:rsidRPr="009C2EF2">
        <w:rPr>
          <w:rFonts w:ascii="Times New Roman" w:hAnsi="Times New Roman"/>
          <w:i/>
          <w:color w:val="231F20"/>
          <w:spacing w:val="-1"/>
          <w:sz w:val="24"/>
          <w:szCs w:val="24"/>
          <w:lang w:val="az-Latn-AZ"/>
        </w:rPr>
        <w:t>aktivlər</w:t>
      </w:r>
    </w:p>
    <w:p w:rsidR="00D02DD9" w:rsidRPr="009C2EF2" w:rsidRDefault="003C64E0">
      <w:pPr>
        <w:pStyle w:val="a3"/>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və ya passivlərin toplam dəyərindən fərqli ola </w:t>
      </w:r>
      <w:r w:rsidRPr="009C2EF2">
        <w:rPr>
          <w:rFonts w:ascii="Times New Roman" w:hAnsi="Times New Roman"/>
          <w:i/>
          <w:color w:val="231F20"/>
          <w:sz w:val="24"/>
          <w:szCs w:val="24"/>
          <w:lang w:val="az-Latn-AZ"/>
        </w:rPr>
        <w:t>bilər</w:t>
      </w:r>
      <w:r w:rsidRPr="009C2EF2">
        <w:rPr>
          <w:rFonts w:ascii="Times New Roman" w:hAnsi="Times New Roman"/>
          <w:color w:val="231F20"/>
          <w:sz w:val="24"/>
          <w:szCs w:val="24"/>
          <w:lang w:val="az-Latn-AZ"/>
        </w:rPr>
        <w:t xml:space="preserve">. Biznes dəyəri müəssisənin qeydə alınmış və alınmamış xalis maddi aktivlərinin və təsbit edilə bilən qeyri-maddi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cəmindən böyük olduqda artıq dəyər fəaliyyətdə olan müəssisənin dəyəri və ya qudvil kimi istinad edilir.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6"/>
        <w:ind w:left="0"/>
        <w:rPr>
          <w:rFonts w:ascii="Times New Roman" w:hAnsi="Times New Roman"/>
          <w:sz w:val="24"/>
          <w:szCs w:val="24"/>
          <w:lang w:val="az-Latn-AZ"/>
        </w:rPr>
      </w:pPr>
    </w:p>
    <w:p w:rsidR="00D02DD9" w:rsidRPr="009C2EF2" w:rsidRDefault="003C64E0">
      <w:pPr>
        <w:pStyle w:val="a3"/>
        <w:kinsoku w:val="0"/>
        <w:overflowPunct w:val="0"/>
        <w:ind w:left="2878" w:right="3724"/>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49</w:t>
      </w:r>
    </w:p>
    <w:p w:rsidR="00D02DD9" w:rsidRPr="009C2EF2" w:rsidRDefault="00D02DD9">
      <w:pPr>
        <w:pStyle w:val="a3"/>
        <w:kinsoku w:val="0"/>
        <w:overflowPunct w:val="0"/>
        <w:ind w:left="2878" w:right="3724"/>
        <w:jc w:val="center"/>
        <w:rPr>
          <w:rFonts w:ascii="Times New Roman" w:hAnsi="Times New Roman"/>
          <w:color w:val="000000"/>
          <w:sz w:val="24"/>
          <w:szCs w:val="24"/>
          <w:lang w:val="az-Latn-AZ"/>
        </w:rPr>
        <w:sectPr w:rsidR="00D02DD9" w:rsidRPr="009C2EF2">
          <w:footerReference w:type="default" r:id="rId5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6880" behindDoc="1" locked="0" layoutInCell="0" allowOverlap="1">
                <wp:simplePos x="0" y="0"/>
                <wp:positionH relativeFrom="page">
                  <wp:posOffset>0</wp:posOffset>
                </wp:positionH>
                <wp:positionV relativeFrom="page">
                  <wp:posOffset>0</wp:posOffset>
                </wp:positionV>
                <wp:extent cx="432435" cy="8424545"/>
                <wp:effectExtent l="0" t="0" r="0" b="0"/>
                <wp:wrapNone/>
                <wp:docPr id="15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E18073" id="Freeform 117" o:spid="_x0000_s1026" style="position:absolute;margin-left:0;margin-top:0;width:34.05pt;height:663.3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4E5D77">
      <w:pPr>
        <w:pStyle w:val="a3"/>
        <w:numPr>
          <w:ilvl w:val="1"/>
          <w:numId w:val="69"/>
        </w:numPr>
        <w:tabs>
          <w:tab w:val="left" w:pos="1531"/>
        </w:tabs>
        <w:kinsoku w:val="0"/>
        <w:overflowPunct w:val="0"/>
        <w:spacing w:before="77" w:line="250" w:lineRule="auto"/>
        <w:ind w:right="30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Müəssisənin sahib olduğu fərdi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 xml:space="preserve">və ya öhdəlikləri qiymətləndirərkən </w:t>
      </w:r>
      <w:r w:rsidRPr="009C2EF2">
        <w:rPr>
          <w:rFonts w:ascii="Times New Roman" w:hAnsi="Times New Roman"/>
          <w:i/>
          <w:color w:val="231F20"/>
          <w:sz w:val="24"/>
          <w:szCs w:val="24"/>
          <w:lang w:val="az-Latn-AZ"/>
        </w:rPr>
        <w:t xml:space="preserve">qiymətləndirici aktivin </w:t>
      </w:r>
      <w:r w:rsidRPr="009C2EF2">
        <w:rPr>
          <w:rFonts w:ascii="Times New Roman" w:hAnsi="Times New Roman"/>
          <w:color w:val="231F20"/>
          <w:spacing w:val="1"/>
          <w:sz w:val="24"/>
          <w:szCs w:val="24"/>
          <w:lang w:val="az-Latn-AZ"/>
        </w:rPr>
        <w:t xml:space="preserve">və ya passivin müvafiq növü ilə bağlı standarta əməl etməlidir (BQS 210 Qeyr-maddi </w:t>
      </w:r>
      <w:r w:rsidRPr="009C2EF2">
        <w:rPr>
          <w:rFonts w:ascii="Times New Roman" w:hAnsi="Times New Roman"/>
          <w:i/>
          <w:color w:val="231F20"/>
          <w:sz w:val="24"/>
          <w:szCs w:val="24"/>
          <w:lang w:val="az-Latn-AZ"/>
        </w:rPr>
        <w:t>Aktivlər</w:t>
      </w:r>
      <w:r w:rsidRPr="009C2EF2">
        <w:rPr>
          <w:rFonts w:ascii="Times New Roman" w:hAnsi="Times New Roman"/>
          <w:color w:val="231F20"/>
          <w:spacing w:val="1"/>
          <w:sz w:val="24"/>
          <w:szCs w:val="24"/>
          <w:lang w:val="az-Latn-AZ"/>
        </w:rPr>
        <w:t>, BQS 400 Daşınmaz Əmlak üzrə İştirak Payları və s.)</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1"/>
          <w:numId w:val="69"/>
        </w:numPr>
        <w:tabs>
          <w:tab w:val="left" w:pos="1531"/>
        </w:tabs>
        <w:kinsoku w:val="0"/>
        <w:overflowPunct w:val="0"/>
        <w:spacing w:line="250" w:lineRule="auto"/>
        <w:ind w:right="30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 </w:t>
      </w:r>
      <w:r w:rsidRPr="009C2EF2">
        <w:rPr>
          <w:rFonts w:ascii="Times New Roman" w:hAnsi="Times New Roman"/>
          <w:color w:val="231F20"/>
          <w:sz w:val="24"/>
          <w:szCs w:val="24"/>
          <w:lang w:val="az-Latn-AZ"/>
        </w:rPr>
        <w:t xml:space="preserve">qiymətləndirmənin bütün müəssisənimi, müəssisənin səhm və ya səhm paketlərinimi(istər səhmlərin nəzarət paketi, istərsə də nəzarət paketi olmayan iştirak payları) yoxsa müəssisənin konkret biznes fəaliyyətinimi əhatə etdiyini müəyyənləşdirməlidir.  Qiymətləndirmənin növü </w:t>
      </w:r>
      <w:r w:rsidRPr="009C2EF2">
        <w:rPr>
          <w:rFonts w:ascii="Times New Roman" w:hAnsi="Times New Roman"/>
          <w:i/>
          <w:color w:val="231F20"/>
          <w:spacing w:val="1"/>
          <w:sz w:val="24"/>
          <w:szCs w:val="24"/>
          <w:lang w:val="az-Latn-AZ"/>
        </w:rPr>
        <w:t>qiymətləndirmə məqsədinə</w:t>
      </w:r>
      <w:r w:rsidRPr="009C2EF2">
        <w:rPr>
          <w:rFonts w:ascii="Times New Roman" w:hAnsi="Times New Roman"/>
          <w:color w:val="231F20"/>
          <w:sz w:val="24"/>
          <w:szCs w:val="24"/>
          <w:lang w:val="az-Latn-AZ"/>
        </w:rPr>
        <w:t xml:space="preserve"> uyğun </w:t>
      </w:r>
      <w:r w:rsidRPr="009C2EF2">
        <w:rPr>
          <w:rFonts w:ascii="Times New Roman" w:hAnsi="Times New Roman"/>
          <w:i/>
          <w:color w:val="231F20"/>
          <w:sz w:val="24"/>
          <w:szCs w:val="24"/>
          <w:lang w:val="az-Latn-AZ"/>
        </w:rPr>
        <w:t xml:space="preserve">olmalı </w:t>
      </w:r>
      <w:r w:rsidRPr="009C2EF2">
        <w:rPr>
          <w:rFonts w:ascii="Times New Roman" w:hAnsi="Times New Roman"/>
          <w:color w:val="231F20"/>
          <w:sz w:val="24"/>
          <w:szCs w:val="24"/>
          <w:lang w:val="az-Latn-AZ"/>
        </w:rPr>
        <w:t xml:space="preserve">və tapşırığın bir hissəsi kimi müzakirə olunmalıdır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Hətta qiymətləndirmənin bütün müəssisə üzrə aparıldığı təqdirdə belə qiymətləndirilən müəssisənin və ya müəssisənin iştirak paylarının dəqiqləşdirilməsi vacibdir, çünki onlara tətbiq olunacaq qiymətləndirmə səviyyələri fərqli ola </w:t>
      </w:r>
      <w:r w:rsidRPr="009C2EF2">
        <w:rPr>
          <w:rFonts w:ascii="Times New Roman" w:hAnsi="Times New Roman"/>
          <w:i/>
          <w:color w:val="231F20"/>
          <w:spacing w:val="-2"/>
          <w:sz w:val="24"/>
          <w:szCs w:val="24"/>
          <w:lang w:val="az-Latn-AZ"/>
        </w:rPr>
        <w:t>bilər</w:t>
      </w:r>
      <w:r w:rsidRPr="009C2EF2">
        <w:rPr>
          <w:rFonts w:ascii="Times New Roman" w:hAnsi="Times New Roman"/>
          <w:color w:val="231F20"/>
          <w:sz w:val="24"/>
          <w:szCs w:val="24"/>
          <w:lang w:val="az-Latn-AZ"/>
        </w:rPr>
        <w:t>. Məsələn:</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75026C" w:rsidP="004E5D77">
      <w:pPr>
        <w:pStyle w:val="a3"/>
        <w:numPr>
          <w:ilvl w:val="2"/>
          <w:numId w:val="69"/>
        </w:numPr>
        <w:tabs>
          <w:tab w:val="left" w:pos="1815"/>
        </w:tabs>
        <w:kinsoku w:val="0"/>
        <w:overflowPunct w:val="0"/>
        <w:spacing w:line="250" w:lineRule="auto"/>
        <w:ind w:left="1814" w:right="30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8096" behindDoc="0" locked="0" layoutInCell="0" allowOverlap="1">
                <wp:simplePos x="0" y="0"/>
                <wp:positionH relativeFrom="page">
                  <wp:posOffset>151130</wp:posOffset>
                </wp:positionH>
                <wp:positionV relativeFrom="paragraph">
                  <wp:posOffset>56515</wp:posOffset>
                </wp:positionV>
                <wp:extent cx="152400" cy="3830320"/>
                <wp:effectExtent l="0" t="0" r="0" b="0"/>
                <wp:wrapNone/>
                <wp:docPr id="1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8" type="#_x0000_t202" style="position:absolute;left:0;text-align:left;margin-left:11.9pt;margin-top:4.45pt;width:12pt;height:301.6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QdtAIAALg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z w:val="24"/>
          <w:szCs w:val="24"/>
          <w:lang w:val="az-Latn-AZ"/>
        </w:rPr>
        <w:t xml:space="preserve">Müəssisə dəyəri: Əsasən, müəssisədəki səhmin ümumi dəyəri + borc və borc öhdəliklərinin dəyəri - bu öhdəliklərin həyata keçirilməsi üçün təklif olunan </w:t>
      </w:r>
      <w:r w:rsidR="004E5D77" w:rsidRPr="009C2EF2">
        <w:rPr>
          <w:rFonts w:ascii="Times New Roman" w:hAnsi="Times New Roman"/>
          <w:color w:val="231F20"/>
          <w:sz w:val="24"/>
          <w:szCs w:val="24"/>
          <w:lang w:val="az-Latn-AZ"/>
        </w:rPr>
        <w:t>nağd</w:t>
      </w:r>
      <w:r w:rsidR="003C64E0" w:rsidRPr="009C2EF2">
        <w:rPr>
          <w:rFonts w:ascii="Times New Roman" w:hAnsi="Times New Roman"/>
          <w:color w:val="231F20"/>
          <w:sz w:val="24"/>
          <w:szCs w:val="24"/>
          <w:lang w:val="az-Latn-AZ"/>
        </w:rPr>
        <w:t xml:space="preserve"> və ya </w:t>
      </w:r>
      <w:r w:rsidR="004E5D77" w:rsidRPr="009C2EF2">
        <w:rPr>
          <w:rFonts w:ascii="Times New Roman" w:hAnsi="Times New Roman"/>
          <w:color w:val="231F20"/>
          <w:sz w:val="24"/>
          <w:szCs w:val="24"/>
          <w:lang w:val="az-Latn-AZ"/>
        </w:rPr>
        <w:t>nağd</w:t>
      </w:r>
      <w:r w:rsidR="003C64E0" w:rsidRPr="009C2EF2">
        <w:rPr>
          <w:rFonts w:ascii="Times New Roman" w:hAnsi="Times New Roman"/>
          <w:color w:val="231F20"/>
          <w:sz w:val="24"/>
          <w:szCs w:val="24"/>
          <w:lang w:val="az-Latn-AZ"/>
        </w:rPr>
        <w:t xml:space="preserve"> ekvivalentlər kimi hesablanır.</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2"/>
          <w:numId w:val="69"/>
        </w:numPr>
        <w:tabs>
          <w:tab w:val="left" w:pos="1815"/>
        </w:tabs>
        <w:kinsoku w:val="0"/>
        <w:overflowPunct w:val="0"/>
        <w:spacing w:line="250" w:lineRule="auto"/>
        <w:ind w:left="1814" w:right="300"/>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 xml:space="preserve">Qoyulmuş ümumi kapital dəyəri: Müəssisəyə yatırılmış ümumi məbləğ (mənbəyindən asılı olmayaraq), əsasən, məcmu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3"/>
          <w:sz w:val="24"/>
          <w:szCs w:val="24"/>
          <w:lang w:val="az-Latn-AZ"/>
        </w:rPr>
        <w:t xml:space="preserve">dəyəri - cari öhdəliklər və </w:t>
      </w:r>
      <w:r w:rsidR="004E5D77" w:rsidRPr="009C2EF2">
        <w:rPr>
          <w:rFonts w:ascii="Times New Roman" w:hAnsi="Times New Roman"/>
          <w:color w:val="231F20"/>
          <w:spacing w:val="-3"/>
          <w:sz w:val="24"/>
          <w:szCs w:val="24"/>
          <w:lang w:val="az-Latn-AZ"/>
        </w:rPr>
        <w:t>nağd</w:t>
      </w:r>
      <w:r w:rsidRPr="009C2EF2">
        <w:rPr>
          <w:rFonts w:ascii="Times New Roman" w:hAnsi="Times New Roman"/>
          <w:color w:val="231F20"/>
          <w:spacing w:val="-3"/>
          <w:sz w:val="24"/>
          <w:szCs w:val="24"/>
          <w:lang w:val="az-Latn-AZ"/>
        </w:rPr>
        <w:t xml:space="preserve"> vəsaitlər kimi hesablanır.</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2"/>
          <w:numId w:val="69"/>
        </w:numPr>
        <w:tabs>
          <w:tab w:val="left" w:pos="1815"/>
        </w:tabs>
        <w:kinsoku w:val="0"/>
        <w:overflowPunct w:val="0"/>
        <w:spacing w:line="250" w:lineRule="auto"/>
        <w:ind w:left="1814" w:right="300"/>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Dəyər</w:t>
      </w:r>
      <w:r w:rsidR="004E5D77" w:rsidRPr="009C2EF2">
        <w:rPr>
          <w:rFonts w:ascii="Times New Roman" w:hAnsi="Times New Roman"/>
          <w:color w:val="231F20"/>
          <w:sz w:val="24"/>
          <w:szCs w:val="24"/>
          <w:lang w:val="az-Latn-AZ"/>
        </w:rPr>
        <w:t>i Biznes əməliyyatlarının məcmu</w:t>
      </w:r>
      <w:r w:rsidRPr="009C2EF2">
        <w:rPr>
          <w:rFonts w:ascii="Times New Roman" w:hAnsi="Times New Roman"/>
          <w:color w:val="231F20"/>
          <w:sz w:val="24"/>
          <w:szCs w:val="24"/>
          <w:lang w:val="az-Latn-AZ"/>
        </w:rPr>
        <w:t xml:space="preserve"> dəyəri  - qeyri-əməliyyat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və passivlərinin dəyəri.</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2"/>
          <w:numId w:val="69"/>
        </w:numPr>
        <w:tabs>
          <w:tab w:val="left" w:pos="1815"/>
        </w:tabs>
        <w:kinsoku w:val="0"/>
        <w:overflowPunct w:val="0"/>
        <w:ind w:left="1814" w:right="300"/>
        <w:rPr>
          <w:rFonts w:ascii="Times New Roman" w:hAnsi="Times New Roman"/>
          <w:color w:val="000000"/>
          <w:sz w:val="24"/>
          <w:szCs w:val="24"/>
          <w:lang w:val="az-Latn-AZ"/>
        </w:rPr>
      </w:pPr>
      <w:r w:rsidRPr="009C2EF2">
        <w:rPr>
          <w:rFonts w:ascii="Times New Roman" w:hAnsi="Times New Roman"/>
          <w:color w:val="231F20"/>
          <w:sz w:val="24"/>
          <w:szCs w:val="24"/>
          <w:lang w:val="az-Latn-AZ"/>
        </w:rPr>
        <w:t>Kapital dəyəri: Müəssisə dəyərinin bütün səhm sahiblərinə nisbəti.</w:t>
      </w:r>
    </w:p>
    <w:p w:rsidR="00D02DD9" w:rsidRPr="009C2EF2" w:rsidRDefault="00D02DD9" w:rsidP="004E5D77">
      <w:pPr>
        <w:pStyle w:val="a3"/>
        <w:kinsoku w:val="0"/>
        <w:overflowPunct w:val="0"/>
        <w:spacing w:before="7"/>
        <w:ind w:left="0" w:right="300"/>
        <w:rPr>
          <w:rFonts w:ascii="Times New Roman" w:hAnsi="Times New Roman"/>
          <w:sz w:val="24"/>
          <w:szCs w:val="24"/>
          <w:lang w:val="az-Latn-AZ"/>
        </w:rPr>
      </w:pPr>
    </w:p>
    <w:p w:rsidR="00D02DD9" w:rsidRPr="009C2EF2" w:rsidRDefault="003C64E0" w:rsidP="004E5D77">
      <w:pPr>
        <w:pStyle w:val="a3"/>
        <w:numPr>
          <w:ilvl w:val="1"/>
          <w:numId w:val="69"/>
        </w:numPr>
        <w:tabs>
          <w:tab w:val="left" w:pos="1531"/>
        </w:tabs>
        <w:kinsoku w:val="0"/>
        <w:overflowPunct w:val="0"/>
        <w:spacing w:line="250" w:lineRule="auto"/>
        <w:ind w:right="3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Müəssisələr üzrə qiymətləndirmələr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üçün nəzərdə tutulub, məsələn, satınalmalar, müəssisələrin birləşdirilməsi və satışı, verginin müəyyən edilməsi, məhkəmə çəkişməsi, iflas prosedur</w:t>
      </w:r>
      <w:r w:rsidR="004E5D77" w:rsidRPr="009C2EF2">
        <w:rPr>
          <w:rFonts w:ascii="Times New Roman" w:hAnsi="Times New Roman"/>
          <w:color w:val="231F20"/>
          <w:spacing w:val="-1"/>
          <w:sz w:val="24"/>
          <w:szCs w:val="24"/>
          <w:lang w:val="az-Latn-AZ"/>
        </w:rPr>
        <w:t>a</w:t>
      </w:r>
      <w:r w:rsidRPr="009C2EF2">
        <w:rPr>
          <w:rFonts w:ascii="Times New Roman" w:hAnsi="Times New Roman"/>
          <w:color w:val="231F20"/>
          <w:spacing w:val="-1"/>
          <w:sz w:val="24"/>
          <w:szCs w:val="24"/>
          <w:lang w:val="az-Latn-AZ"/>
        </w:rPr>
        <w:t xml:space="preserve">ları və maliyyə hesabatı.  Müəssisə qiymətləndirmələri fond seçiminin, xüsusi fond siniflərinin və ya borcların  qiymətləndirilməsi kimi müxtəlif qiymətləndirmələrdə baza kimi tələb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Heading41"/>
        <w:numPr>
          <w:ilvl w:val="0"/>
          <w:numId w:val="68"/>
        </w:numPr>
        <w:tabs>
          <w:tab w:val="left" w:pos="1531"/>
        </w:tabs>
        <w:kinsoku w:val="0"/>
        <w:overflowPunct w:val="0"/>
        <w:ind w:left="1530" w:right="30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3C64E0" w:rsidP="004E5D77">
      <w:pPr>
        <w:pStyle w:val="a3"/>
        <w:numPr>
          <w:ilvl w:val="1"/>
          <w:numId w:val="68"/>
        </w:numPr>
        <w:tabs>
          <w:tab w:val="left" w:pos="1531"/>
        </w:tabs>
        <w:kinsoku w:val="0"/>
        <w:overflowPunct w:val="0"/>
        <w:spacing w:before="122" w:line="250" w:lineRule="auto"/>
        <w:ind w:right="30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BQS 104 Dəyər Bazalarına uyğun olaraq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müəssisə və ya müəssisənin iştirak paylarını qiymətləndirərkən uyğun dəyər bazasını (bazalarını) seçməlidir.</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1"/>
          <w:numId w:val="68"/>
        </w:numPr>
        <w:tabs>
          <w:tab w:val="left" w:pos="1531"/>
        </w:tabs>
        <w:kinsoku w:val="0"/>
        <w:overflowPunct w:val="0"/>
        <w:spacing w:line="250" w:lineRule="auto"/>
        <w:ind w:right="3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Biznes qiymətləndirmələri BQSŞ-dən kənar müəssisə və ya təşkilatlar tərəfindən müəyyən edilmiş dəyər bazaları əsasında icra edilir (BQS 104 Qiymətləndimə Bazaları bölməsində bəzi nümunələr verilib) və qiymətləndirmə tarixinədək </w:t>
      </w:r>
      <w:r w:rsidRPr="009C2EF2">
        <w:rPr>
          <w:rFonts w:ascii="Times New Roman" w:hAnsi="Times New Roman"/>
          <w:i/>
          <w:color w:val="231F20"/>
          <w:sz w:val="24"/>
          <w:szCs w:val="24"/>
          <w:lang w:val="az-Latn-AZ"/>
        </w:rPr>
        <w:t xml:space="preserve">qiymətləndiricilərdən </w:t>
      </w:r>
      <w:r w:rsidRPr="009C2EF2">
        <w:rPr>
          <w:rFonts w:ascii="Times New Roman" w:hAnsi="Times New Roman"/>
          <w:color w:val="231F20"/>
          <w:spacing w:val="1"/>
          <w:sz w:val="24"/>
          <w:szCs w:val="24"/>
          <w:lang w:val="az-Latn-AZ"/>
        </w:rPr>
        <w:t>qanunu, məhkəmə təcrübəsini və tətbiq edilmiş dəyər bazaları ilə bağlı digər izahlı təlimatları başa düşməsi və onlara əməl etməsi tələb olunur.</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Heading41"/>
        <w:numPr>
          <w:ilvl w:val="0"/>
          <w:numId w:val="67"/>
        </w:numPr>
        <w:tabs>
          <w:tab w:val="left" w:pos="1531"/>
        </w:tabs>
        <w:kinsoku w:val="0"/>
        <w:overflowPunct w:val="0"/>
        <w:ind w:left="1530" w:right="30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3C64E0" w:rsidP="004E5D77">
      <w:pPr>
        <w:pStyle w:val="a3"/>
        <w:numPr>
          <w:ilvl w:val="1"/>
          <w:numId w:val="67"/>
        </w:numPr>
        <w:tabs>
          <w:tab w:val="left" w:pos="1531"/>
        </w:tabs>
        <w:kinsoku w:val="0"/>
        <w:overflowPunct w:val="0"/>
        <w:spacing w:before="122" w:line="250" w:lineRule="auto"/>
        <w:ind w:right="30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bölməsində təsvir edilmiş üç əsas qiymətləndirmə yanaşması Müəssisələr və Müəssisənin İştirak Paylarının qiymətləndirilməsinə tətbiq edilə bilər.</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a3"/>
        <w:numPr>
          <w:ilvl w:val="1"/>
          <w:numId w:val="67"/>
        </w:numPr>
        <w:tabs>
          <w:tab w:val="left" w:pos="1531"/>
        </w:tabs>
        <w:kinsoku w:val="0"/>
        <w:overflowPunct w:val="0"/>
        <w:spacing w:line="250" w:lineRule="auto"/>
        <w:ind w:right="3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standartın tələblərinə əlavə olaraq yanaşma və üsul seçərkən qiymətləndirici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pacing w:val="1"/>
          <w:sz w:val="24"/>
          <w:szCs w:val="24"/>
          <w:lang w:val="az-Latn-AZ"/>
        </w:rPr>
        <w:t xml:space="preserve">bölməsinin, o cümlədən, 10.3-cü bəndin şərtlərini </w:t>
      </w:r>
      <w:r w:rsidRPr="009C2EF2">
        <w:rPr>
          <w:rFonts w:ascii="Times New Roman" w:hAnsi="Times New Roman"/>
          <w:i/>
          <w:color w:val="231F20"/>
          <w:sz w:val="24"/>
          <w:szCs w:val="24"/>
          <w:lang w:val="az-Latn-AZ"/>
        </w:rPr>
        <w:t>nəzərə almalıdır</w:t>
      </w:r>
      <w:r w:rsidRPr="009C2EF2">
        <w:rPr>
          <w:rFonts w:ascii="Times New Roman" w:hAnsi="Times New Roman"/>
          <w:color w:val="231F20"/>
          <w:spacing w:val="1"/>
          <w:sz w:val="24"/>
          <w:szCs w:val="24"/>
          <w:lang w:val="az-Latn-AZ"/>
        </w:rPr>
        <w:t>.</w:t>
      </w:r>
    </w:p>
    <w:p w:rsidR="00D02DD9" w:rsidRPr="009C2EF2" w:rsidRDefault="00D02DD9" w:rsidP="004E5D77">
      <w:pPr>
        <w:pStyle w:val="a3"/>
        <w:kinsoku w:val="0"/>
        <w:overflowPunct w:val="0"/>
        <w:spacing w:before="9"/>
        <w:ind w:left="0" w:right="300"/>
        <w:rPr>
          <w:rFonts w:ascii="Times New Roman" w:hAnsi="Times New Roman"/>
          <w:sz w:val="24"/>
          <w:szCs w:val="24"/>
          <w:lang w:val="az-Latn-AZ"/>
        </w:rPr>
      </w:pPr>
    </w:p>
    <w:p w:rsidR="00D02DD9" w:rsidRPr="009C2EF2" w:rsidRDefault="003C64E0" w:rsidP="004E5D77">
      <w:pPr>
        <w:pStyle w:val="Heading41"/>
        <w:numPr>
          <w:ilvl w:val="0"/>
          <w:numId w:val="66"/>
        </w:numPr>
        <w:tabs>
          <w:tab w:val="left" w:pos="1531"/>
        </w:tabs>
        <w:kinsoku w:val="0"/>
        <w:overflowPunct w:val="0"/>
        <w:ind w:left="1530" w:right="30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3C64E0" w:rsidP="004E5D77">
      <w:pPr>
        <w:pStyle w:val="a3"/>
        <w:numPr>
          <w:ilvl w:val="1"/>
          <w:numId w:val="66"/>
        </w:numPr>
        <w:tabs>
          <w:tab w:val="left" w:pos="1531"/>
        </w:tabs>
        <w:kinsoku w:val="0"/>
        <w:overflowPunct w:val="0"/>
        <w:spacing w:before="122" w:line="250" w:lineRule="auto"/>
        <w:ind w:right="30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standartının 20.2 və ya 20.3 bəndlərinin  tələblərinə uyğun gəldiyi zaman Müəssisələrin və Müəssisənin İştirak Paylarının qiymətləndirilməsində bazar yanaşmasından istifadə olunur. Müəssisələri və Müəssisənin İştirak Paylarını bazar yanaşması əsasında qiymətləndirərkən</w:t>
      </w: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50</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5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7904" behindDoc="1" locked="0" layoutInCell="0" allowOverlap="1">
                <wp:simplePos x="0" y="0"/>
                <wp:positionH relativeFrom="page">
                  <wp:posOffset>5183505</wp:posOffset>
                </wp:positionH>
                <wp:positionV relativeFrom="page">
                  <wp:posOffset>0</wp:posOffset>
                </wp:positionV>
                <wp:extent cx="431800" cy="8423910"/>
                <wp:effectExtent l="0" t="0" r="0" b="0"/>
                <wp:wrapNone/>
                <wp:docPr id="15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6C45F9" id="Freeform 119" o:spid="_x0000_s1026" style="position:absolute;margin-left:408.15pt;margin-top:0;width:34pt;height:663.3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left="680" w:right="1134"/>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standartının 20 və ya 30-cu bölmələrinin tələblərini nəzərə almalıdır.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6"/>
        </w:numPr>
        <w:tabs>
          <w:tab w:val="left" w:pos="681"/>
        </w:tabs>
        <w:kinsoku w:val="0"/>
        <w:overflowPunct w:val="0"/>
        <w:spacing w:line="250" w:lineRule="auto"/>
        <w:ind w:left="680"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Müəssisələri və Müəssisənin İştirak Paylarını bazar yanaşması əsasında qiymətləndirərkən ən çox istifadə olunan üç mənbə aşağıdakılardır: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6"/>
        </w:numPr>
        <w:tabs>
          <w:tab w:val="left" w:pos="965"/>
        </w:tabs>
        <w:kinsoku w:val="0"/>
        <w:overflowPunct w:val="0"/>
        <w:spacing w:line="250" w:lineRule="auto"/>
        <w:ind w:left="964" w:right="1185"/>
        <w:rPr>
          <w:rFonts w:ascii="Times New Roman" w:hAnsi="Times New Roman"/>
          <w:color w:val="000000"/>
          <w:sz w:val="24"/>
          <w:szCs w:val="24"/>
          <w:lang w:val="az-Latn-AZ"/>
        </w:rPr>
      </w:pPr>
      <w:r w:rsidRPr="009C2EF2">
        <w:rPr>
          <w:rFonts w:ascii="Times New Roman" w:hAnsi="Times New Roman"/>
          <w:color w:val="231F20"/>
          <w:sz w:val="24"/>
          <w:szCs w:val="24"/>
          <w:lang w:val="az-Latn-AZ"/>
        </w:rPr>
        <w:t>oxşar müəssisələrin iştirak paylarının satıldığı açıq fond bazarları,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6"/>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bütün müəssisələrin və ya müəssisələrdəki səhmlərin nəzarət paketlərinin alqı-satqısının həyata keçirildiyi alqı-satqı bazarı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66"/>
        </w:numPr>
        <w:tabs>
          <w:tab w:val="left" w:pos="965"/>
        </w:tabs>
        <w:kinsoku w:val="0"/>
        <w:overflowPunct w:val="0"/>
        <w:spacing w:line="250" w:lineRule="auto"/>
        <w:ind w:left="964" w:right="1989"/>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89120" behindDoc="0" locked="0" layoutInCell="0" allowOverlap="1">
                <wp:simplePos x="0" y="0"/>
                <wp:positionH relativeFrom="page">
                  <wp:posOffset>5276215</wp:posOffset>
                </wp:positionH>
                <wp:positionV relativeFrom="paragraph">
                  <wp:posOffset>114300</wp:posOffset>
                </wp:positionV>
                <wp:extent cx="152400" cy="3830320"/>
                <wp:effectExtent l="0" t="0" r="0" b="0"/>
                <wp:wrapNone/>
                <wp:docPr id="14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9" type="#_x0000_t202" style="position:absolute;left:0;text-align:left;margin-left:415.45pt;margin-top:9pt;width:12pt;height:301.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pacing w:val="1"/>
          <w:sz w:val="24"/>
          <w:szCs w:val="24"/>
          <w:lang w:val="az-Latn-AZ"/>
        </w:rPr>
        <w:t>səhmlər üzrə ilkin əməliyyatlar və ya qiymətləndirilən biznesin mülkiyyət hüququ ilə bağlı təkliflər.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6"/>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Bazar yanaşması əsasında oxşar müəssisələrin müqayisəsi və onlara etibar edilməsi üçün əsas </w:t>
      </w:r>
      <w:r w:rsidRPr="009C2EF2">
        <w:rPr>
          <w:rFonts w:ascii="Times New Roman" w:hAnsi="Times New Roman"/>
          <w:i/>
          <w:color w:val="231F20"/>
          <w:sz w:val="24"/>
          <w:szCs w:val="24"/>
          <w:lang w:val="az-Latn-AZ"/>
        </w:rPr>
        <w:t>olmalıdır</w:t>
      </w:r>
      <w:r w:rsidRPr="009C2EF2">
        <w:rPr>
          <w:rFonts w:ascii="Times New Roman" w:hAnsi="Times New Roman"/>
          <w:color w:val="231F20"/>
          <w:spacing w:val="1"/>
          <w:sz w:val="24"/>
          <w:szCs w:val="24"/>
          <w:lang w:val="az-Latn-AZ"/>
        </w:rPr>
        <w:t xml:space="preserve">. Bu oxşar müəssisələr eyni sənaye sahəsinin və ya eyni iqtisadi göstəricilərə malik sənaye sahəsinin müəssisələri </w:t>
      </w:r>
      <w:r w:rsidRPr="009C2EF2">
        <w:rPr>
          <w:rFonts w:ascii="Times New Roman" w:hAnsi="Times New Roman"/>
          <w:i/>
          <w:color w:val="231F20"/>
          <w:spacing w:val="1"/>
          <w:sz w:val="24"/>
          <w:szCs w:val="24"/>
          <w:lang w:val="az-Latn-AZ"/>
        </w:rPr>
        <w:t>olmalıdır</w:t>
      </w:r>
      <w:r w:rsidRPr="009C2EF2">
        <w:rPr>
          <w:rFonts w:ascii="Times New Roman" w:hAnsi="Times New Roman"/>
          <w:color w:val="231F20"/>
          <w:spacing w:val="1"/>
          <w:sz w:val="24"/>
          <w:szCs w:val="24"/>
          <w:lang w:val="az-Latn-AZ"/>
        </w:rPr>
        <w:t xml:space="preserve">. Müqayisənin aparılması üçün əsasın olub-olmamasını müəyyənləşdirərkən nəzərə </w:t>
      </w:r>
      <w:r w:rsidRPr="009C2EF2">
        <w:rPr>
          <w:rFonts w:ascii="Times New Roman" w:hAnsi="Times New Roman"/>
          <w:i/>
          <w:color w:val="231F20"/>
          <w:spacing w:val="1"/>
          <w:sz w:val="24"/>
          <w:szCs w:val="24"/>
          <w:lang w:val="az-Latn-AZ"/>
        </w:rPr>
        <w:t xml:space="preserve">alınacaq </w:t>
      </w:r>
      <w:r w:rsidRPr="009C2EF2">
        <w:rPr>
          <w:rFonts w:ascii="Times New Roman" w:hAnsi="Times New Roman"/>
          <w:color w:val="231F20"/>
          <w:spacing w:val="1"/>
          <w:sz w:val="24"/>
          <w:szCs w:val="24"/>
          <w:lang w:val="az-Latn-AZ"/>
        </w:rPr>
        <w:t>amillərə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6"/>
        </w:numPr>
        <w:tabs>
          <w:tab w:val="left" w:pos="965"/>
        </w:tabs>
        <w:kinsoku w:val="0"/>
        <w:overflowPunct w:val="0"/>
        <w:spacing w:line="250" w:lineRule="auto"/>
        <w:ind w:left="964"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kəmiyyət və keyfiyyət baxımından qiymətləndirilən müəssisə ilə oxşarlıq,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oxşar müəssisələr haqqında məlumatların həcmi və etibarlılığı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66"/>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oxşar müəssisənin qiymətinin müstəqil tərəflər arasında bağlanmış sövdələşmə və nizamlı sövdələşmə əsasında müəyyən edilməsi.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6"/>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Bazarın dəyər əmsalını tətbiq edərkən</w:t>
      </w:r>
    </w:p>
    <w:p w:rsidR="00D02DD9" w:rsidRPr="009C2EF2" w:rsidRDefault="003C64E0">
      <w:pPr>
        <w:pStyle w:val="a3"/>
        <w:kinsoku w:val="0"/>
        <w:overflowPunct w:val="0"/>
        <w:spacing w:before="9" w:line="250" w:lineRule="auto"/>
        <w:ind w:left="680" w:right="14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60.8 bəndindəki tənzimləmələr kimi müxtəlif tənzimləmələr həm qiymətləndirilən şirkət, həm də müqayisə edilən şirkətlərə tətbiq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66"/>
        </w:numPr>
        <w:tabs>
          <w:tab w:val="left" w:pos="681"/>
        </w:tabs>
        <w:kinsoku w:val="0"/>
        <w:overflowPunct w:val="0"/>
        <w:spacing w:before="9"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Müqayisəli əməliyyatların müəyyənləşdirilməsi və tənzimlənməsi zamanı </w:t>
      </w:r>
      <w:r w:rsidRPr="009C2EF2">
        <w:rPr>
          <w:rFonts w:ascii="Times New Roman" w:hAnsi="Times New Roman"/>
          <w:i/>
          <w:color w:val="231F20"/>
          <w:spacing w:val="-1"/>
          <w:sz w:val="24"/>
          <w:szCs w:val="24"/>
          <w:lang w:val="az-Latn-AZ"/>
        </w:rPr>
        <w:t>qiymətləndirici</w:t>
      </w:r>
      <w:r w:rsidR="004E5D77"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pacing w:val="1"/>
          <w:sz w:val="24"/>
          <w:szCs w:val="24"/>
          <w:lang w:val="az-Latn-AZ"/>
        </w:rPr>
        <w:t>BQS 105 Qiymətləndirmə Yanaşmaları və Metodları bölməsinin, eləcə də, 30.7-30.8 bəndlərinin tələblərini nəzərə almalıdır.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6"/>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Dövlət şirkətləri haqqında müqayisəli məlumatların müəyyənləşdirilməsi və tənzimlənməsi zamanı </w:t>
      </w:r>
      <w:r w:rsidRPr="009C2EF2">
        <w:rPr>
          <w:rFonts w:ascii="Times New Roman" w:hAnsi="Times New Roman"/>
          <w:i/>
          <w:color w:val="231F20"/>
          <w:spacing w:val="-1"/>
          <w:sz w:val="24"/>
          <w:szCs w:val="24"/>
          <w:lang w:val="az-Latn-AZ"/>
        </w:rPr>
        <w:t xml:space="preserve">qiymətləndirici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standartının 30.13-30.14 bəndlərinin tələblərini nəzərə almalıdır.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6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3C64E0">
      <w:pPr>
        <w:pStyle w:val="a3"/>
        <w:numPr>
          <w:ilvl w:val="1"/>
          <w:numId w:val="65"/>
        </w:numPr>
        <w:tabs>
          <w:tab w:val="left" w:pos="681"/>
        </w:tabs>
        <w:kinsoku w:val="0"/>
        <w:overflowPunct w:val="0"/>
        <w:spacing w:before="122" w:line="250" w:lineRule="auto"/>
        <w:ind w:left="680" w:right="127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standartının 40.2 və ya 40.3 bəndlərinin  tələblərinə uyğun gəldiyi zaman Müəssisələrin və Müəssisənin İştirak Paylarının qiymətləndirilməsində gəlir yanaşmasından istifadə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5"/>
        </w:numPr>
        <w:tabs>
          <w:tab w:val="left" w:pos="681"/>
        </w:tabs>
        <w:kinsoku w:val="0"/>
        <w:overflowPunct w:val="0"/>
        <w:spacing w:line="250" w:lineRule="auto"/>
        <w:ind w:left="680" w:right="152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 tətbiq olunarkən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pacing w:val="1"/>
          <w:sz w:val="24"/>
          <w:szCs w:val="24"/>
          <w:lang w:val="az-Latn-AZ"/>
        </w:rPr>
        <w:t>standartının 40 və 50-ci bölm</w:t>
      </w:r>
      <w:r w:rsidR="004E5D77" w:rsidRPr="009C2EF2">
        <w:rPr>
          <w:rFonts w:ascii="Times New Roman" w:hAnsi="Times New Roman"/>
          <w:color w:val="231F20"/>
          <w:spacing w:val="1"/>
          <w:sz w:val="24"/>
          <w:szCs w:val="24"/>
          <w:lang w:val="az-Latn-AZ"/>
        </w:rPr>
        <w:t>ə</w:t>
      </w:r>
      <w:r w:rsidRPr="009C2EF2">
        <w:rPr>
          <w:rFonts w:ascii="Times New Roman" w:hAnsi="Times New Roman"/>
          <w:color w:val="231F20"/>
          <w:spacing w:val="1"/>
          <w:sz w:val="24"/>
          <w:szCs w:val="24"/>
          <w:lang w:val="az-Latn-AZ"/>
        </w:rPr>
        <w:t>lərinin tələblərini nəzərə almalıdırlar.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5"/>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və Müəssisə və ya Müəssisənin İştirak Payları ilə bağlı pul axını müxtəlif üsullarla və Vergi öncəsi və vergi sonrası bazaları əsasında müəyyənləşdirilə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Tətbiq edilən kapitallaşma və ya diskont faiz dərəcəsi gəlirin və ya pul axının növünə uyğun </w:t>
      </w:r>
      <w:r w:rsidRPr="009C2EF2">
        <w:rPr>
          <w:rFonts w:ascii="Times New Roman" w:hAnsi="Times New Roman"/>
          <w:i/>
          <w:color w:val="231F20"/>
          <w:sz w:val="24"/>
          <w:szCs w:val="24"/>
          <w:lang w:val="az-Latn-AZ"/>
        </w:rPr>
        <w:t>olmalıdır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870" w:right="3725"/>
        <w:jc w:val="center"/>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51</w:t>
      </w:r>
    </w:p>
    <w:p w:rsidR="00D02DD9" w:rsidRPr="009C2EF2" w:rsidRDefault="00D02DD9">
      <w:pPr>
        <w:pStyle w:val="a3"/>
        <w:kinsoku w:val="0"/>
        <w:overflowPunct w:val="0"/>
        <w:spacing w:before="80"/>
        <w:ind w:left="2870" w:right="3725"/>
        <w:jc w:val="center"/>
        <w:rPr>
          <w:rFonts w:ascii="Times New Roman" w:hAnsi="Times New Roman"/>
          <w:color w:val="000000"/>
          <w:sz w:val="24"/>
          <w:szCs w:val="24"/>
          <w:lang w:val="az-Latn-AZ"/>
        </w:rPr>
        <w:sectPr w:rsidR="00D02DD9" w:rsidRPr="009C2EF2">
          <w:footerReference w:type="default" r:id="rId5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8928" behindDoc="1" locked="0" layoutInCell="0" allowOverlap="1">
                <wp:simplePos x="0" y="0"/>
                <wp:positionH relativeFrom="page">
                  <wp:posOffset>0</wp:posOffset>
                </wp:positionH>
                <wp:positionV relativeFrom="page">
                  <wp:posOffset>0</wp:posOffset>
                </wp:positionV>
                <wp:extent cx="432435" cy="8424545"/>
                <wp:effectExtent l="0" t="0" r="0" b="0"/>
                <wp:wrapNone/>
                <wp:docPr id="14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CBCF036" id="Freeform 121" o:spid="_x0000_s1026" style="position:absolute;margin-left:0;margin-top:0;width:34.05pt;height:663.3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S0UNQWQDAACG&#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1"/>
          <w:numId w:val="65"/>
        </w:numPr>
        <w:tabs>
          <w:tab w:val="left" w:pos="1531"/>
        </w:tabs>
        <w:kinsoku w:val="0"/>
        <w:overflowPunct w:val="0"/>
        <w:spacing w:before="77" w:line="250" w:lineRule="auto"/>
        <w:ind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Gəlirin və ya pul axının növü qiymətləndirilən alətə uyğun </w:t>
      </w:r>
      <w:r w:rsidRPr="009C2EF2">
        <w:rPr>
          <w:rFonts w:ascii="Times New Roman" w:hAnsi="Times New Roman"/>
          <w:i/>
          <w:color w:val="231F20"/>
          <w:spacing w:val="1"/>
          <w:sz w:val="24"/>
          <w:szCs w:val="24"/>
          <w:lang w:val="az-Latn-AZ"/>
        </w:rPr>
        <w:t>olmalıdır</w:t>
      </w:r>
      <w:r w:rsidRPr="009C2EF2">
        <w:rPr>
          <w:rFonts w:ascii="Times New Roman" w:hAnsi="Times New Roman"/>
          <w:color w:val="231F20"/>
          <w:sz w:val="24"/>
          <w:szCs w:val="24"/>
          <w:lang w:val="az-Latn-AZ"/>
        </w:rPr>
        <w:t>. Məsələn: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5"/>
        </w:numPr>
        <w:tabs>
          <w:tab w:val="left" w:pos="1815"/>
        </w:tabs>
        <w:kinsoku w:val="0"/>
        <w:overflowPunct w:val="0"/>
        <w:spacing w:line="250" w:lineRule="auto"/>
        <w:ind w:left="1814" w:right="114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 dəyəri kapitalın orta </w:t>
      </w:r>
      <w:r w:rsidRPr="009C2EF2">
        <w:rPr>
          <w:rFonts w:ascii="Times New Roman" w:hAnsi="Times New Roman"/>
          <w:i/>
          <w:color w:val="231F20"/>
          <w:sz w:val="24"/>
          <w:szCs w:val="24"/>
          <w:lang w:val="az-Latn-AZ"/>
        </w:rPr>
        <w:t xml:space="preserve">çəkili </w:t>
      </w:r>
      <w:r w:rsidRPr="009C2EF2">
        <w:rPr>
          <w:rFonts w:ascii="Times New Roman" w:hAnsi="Times New Roman"/>
          <w:color w:val="231F20"/>
          <w:sz w:val="24"/>
          <w:szCs w:val="24"/>
          <w:lang w:val="az-Latn-AZ"/>
        </w:rPr>
        <w:t>dəyəri kimi müəssisə səviyyəsində pul axınlarına uyğun diskont faiz dərəcəsi və borc xidmətinin dəyəri tətbiq olunmazdan öncə pul axınları əsasında müəyyən edilir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5"/>
        </w:numPr>
        <w:tabs>
          <w:tab w:val="left" w:pos="1815"/>
        </w:tabs>
        <w:kinsoku w:val="0"/>
        <w:overflowPunct w:val="0"/>
        <w:spacing w:line="250" w:lineRule="auto"/>
        <w:ind w:left="1814" w:right="120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kapital dəyər kapital xərc kimi kapital səviyyəsində pul axınınlarına uyğun diskont faiz dərəcəsi və borc xidmətinin dəyəri tətbiq olunduqdan sonra kapital üzrə pul axınları əsasında müəyyən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65"/>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0144" behindDoc="0" locked="0" layoutInCell="0" allowOverlap="1">
                <wp:simplePos x="0" y="0"/>
                <wp:positionH relativeFrom="page">
                  <wp:posOffset>151130</wp:posOffset>
                </wp:positionH>
                <wp:positionV relativeFrom="paragraph">
                  <wp:posOffset>359410</wp:posOffset>
                </wp:positionV>
                <wp:extent cx="152400" cy="3830320"/>
                <wp:effectExtent l="0" t="0" r="0" b="0"/>
                <wp:wrapNone/>
                <wp:docPr id="1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0" type="#_x0000_t202" style="position:absolute;left:0;text-align:left;margin-left:11.9pt;margin-top:28.3pt;width:12pt;height:301.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jAtQ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z w:val="24"/>
          <w:szCs w:val="24"/>
          <w:lang w:val="az-Latn-AZ"/>
        </w:rPr>
        <w:t xml:space="preserve">Gəlir yanaşması gəlir və ya pul axınının kapitallaşdırılması zamanı kapitallaşma dərəcəsinin, pul axınlarının diskontlaşdırılması zamanı isə diskont faiz dərəcəsinin hesablanmasını tələb edir. Uyğun dərəcənin hesablanması zamanı faiz dərəcəsi, oxşar investisiyalar üzrə </w:t>
      </w:r>
      <w:r w:rsidR="003C64E0" w:rsidRPr="009C2EF2">
        <w:rPr>
          <w:rFonts w:ascii="Times New Roman" w:hAnsi="Times New Roman"/>
          <w:i/>
          <w:color w:val="231F20"/>
          <w:sz w:val="24"/>
          <w:szCs w:val="24"/>
          <w:lang w:val="az-Latn-AZ"/>
        </w:rPr>
        <w:t xml:space="preserve">iştirakçılar </w:t>
      </w:r>
      <w:r w:rsidR="003C64E0" w:rsidRPr="009C2EF2">
        <w:rPr>
          <w:rFonts w:ascii="Times New Roman" w:hAnsi="Times New Roman"/>
          <w:color w:val="231F20"/>
          <w:sz w:val="24"/>
          <w:szCs w:val="24"/>
          <w:lang w:val="az-Latn-AZ"/>
        </w:rPr>
        <w:t xml:space="preserve">tərəfindən proqnozlaşdırılan gəlirlilik faizi və risk dərəcəsi nəzərə alınır (BQS 105 </w:t>
      </w:r>
      <w:r w:rsidR="003C64E0" w:rsidRPr="009C2EF2">
        <w:rPr>
          <w:rFonts w:ascii="Times New Roman" w:hAnsi="Times New Roman"/>
          <w:i/>
          <w:color w:val="231F20"/>
          <w:spacing w:val="-1"/>
          <w:sz w:val="24"/>
          <w:szCs w:val="24"/>
          <w:lang w:val="az-Latn-AZ"/>
        </w:rPr>
        <w:t>Qiymətləndirmə Yanaşmaları və Metodlarının</w:t>
      </w:r>
      <w:r w:rsidR="003C64E0" w:rsidRPr="009C2EF2">
        <w:rPr>
          <w:rFonts w:ascii="Times New Roman" w:hAnsi="Times New Roman"/>
          <w:color w:val="231F20"/>
          <w:sz w:val="24"/>
          <w:szCs w:val="24"/>
          <w:lang w:val="az-Latn-AZ"/>
        </w:rPr>
        <w:t xml:space="preserve"> 50.29-50.31 bəndlərinə baxın).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1"/>
          <w:numId w:val="65"/>
        </w:numPr>
        <w:tabs>
          <w:tab w:val="left" w:pos="1531"/>
        </w:tabs>
        <w:kinsoku w:val="0"/>
        <w:overflowPunct w:val="0"/>
        <w:spacing w:line="250" w:lineRule="auto"/>
        <w:ind w:right="127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Diskontlaşdırma metodlarında gözlənilən artım proqnozlaşdırılan gəlir və ya pul axınında əks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Kapitallaşdırma metodlarında isə proqnozlaşdırılan artım kapitallaşdırma dərəcəsində əks olunur. Proqnozlaşdırılmış pul axını nominal şərtlərdə ifadə olunarsa </w:t>
      </w:r>
      <w:r w:rsidR="004E5D77"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və ya deflyasiya səbəbindən ediləcək qiymət dəyişikliyi ehtimalının nəzərə alındığı diskont faiz dərəcəsi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 xml:space="preserve">. Proqnozlaşdırılmış pul axını real şərtlərdə ifadə olunarsa </w:t>
      </w:r>
      <w:r w:rsidR="004E5D77" w:rsidRPr="009C2EF2">
        <w:rPr>
          <w:rFonts w:ascii="Times New Roman" w:hAnsi="Times New Roman"/>
          <w:color w:val="231F20"/>
          <w:sz w:val="24"/>
          <w:szCs w:val="24"/>
          <w:lang w:val="az-Latn-AZ"/>
        </w:rPr>
        <w:t>inflyasiya</w:t>
      </w:r>
      <w:r w:rsidRPr="009C2EF2">
        <w:rPr>
          <w:rFonts w:ascii="Times New Roman" w:hAnsi="Times New Roman"/>
          <w:color w:val="231F20"/>
          <w:sz w:val="24"/>
          <w:szCs w:val="24"/>
          <w:lang w:val="az-Latn-AZ"/>
        </w:rPr>
        <w:t xml:space="preserve"> və ya deflyasiya səbəbindən ediləcək qiymət dəyişikliyi ehtimalının nəzərə alınmadığı diskont faiz dərəcəsi 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w:t>
      </w:r>
    </w:p>
    <w:p w:rsidR="00D02DD9" w:rsidRPr="009C2EF2" w:rsidRDefault="003C64E0" w:rsidP="004E5D77">
      <w:pPr>
        <w:pStyle w:val="a3"/>
        <w:numPr>
          <w:ilvl w:val="1"/>
          <w:numId w:val="65"/>
        </w:numPr>
        <w:tabs>
          <w:tab w:val="left" w:pos="1531"/>
        </w:tabs>
        <w:kinsoku w:val="0"/>
        <w:overflowPunct w:val="0"/>
        <w:spacing w:line="250" w:lineRule="auto"/>
        <w:ind w:right="121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Gəlir yanaşmasına əsasən, müəssisənin gələcək gəlirinin və ya pul axınının hesablanması zamanı sahibkarlıq fəaliyyəti subyektinin keçmiş maliyyə hesabatlarına</w:t>
      </w:r>
      <w:r w:rsidR="004E5D77"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istinad edilir. Maliyyə təhlilləri əsasında keçmiş tendensiyaların müəyyənləşdirilməsi sənaye</w:t>
      </w:r>
      <w:r w:rsidR="004E5D77" w:rsidRPr="009C2EF2">
        <w:rPr>
          <w:rFonts w:ascii="Times New Roman" w:hAnsi="Times New Roman"/>
          <w:color w:val="231F20"/>
          <w:sz w:val="24"/>
          <w:szCs w:val="24"/>
          <w:lang w:val="az-Latn-AZ"/>
        </w:rPr>
        <w:t xml:space="preserve"> və gələcək fəaliyyət perspektiv</w:t>
      </w:r>
      <w:r w:rsidRPr="009C2EF2">
        <w:rPr>
          <w:rFonts w:ascii="Times New Roman" w:hAnsi="Times New Roman"/>
          <w:color w:val="231F20"/>
          <w:sz w:val="24"/>
          <w:szCs w:val="24"/>
          <w:lang w:val="az-Latn-AZ"/>
        </w:rPr>
        <w:t xml:space="preserve">ləri </w:t>
      </w:r>
      <w:r w:rsidRPr="009C2EF2">
        <w:rPr>
          <w:rFonts w:ascii="Times New Roman" w:hAnsi="Times New Roman"/>
          <w:color w:val="231F20"/>
          <w:sz w:val="24"/>
          <w:szCs w:val="24"/>
          <w:lang w:val="az-Latn-AZ"/>
        </w:rPr>
        <w:lastRenderedPageBreak/>
        <w:t xml:space="preserve">baxımından biznes əməliyyatlarına xas risklərin qiymətləndirilməsi üçün lazımi məlumatın əldə olunmasına kömək edə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5"/>
        </w:numPr>
        <w:tabs>
          <w:tab w:val="left" w:pos="1531"/>
        </w:tabs>
        <w:kinsoku w:val="0"/>
        <w:overflowPunct w:val="0"/>
        <w:spacing w:line="250" w:lineRule="auto"/>
        <w:ind w:right="14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Tənzimləmələr tarixi pul axınları və qiymətləndirmə tarixində təcrübə olunacaq pul axınları arasındakı fərqi əks etdirmək məqsədi ilə aparıla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Məsələn: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2"/>
          <w:numId w:val="65"/>
        </w:numPr>
        <w:tabs>
          <w:tab w:val="left" w:pos="1815"/>
        </w:tabs>
        <w:kinsoku w:val="0"/>
        <w:overflowPunct w:val="0"/>
        <w:spacing w:line="250" w:lineRule="auto"/>
        <w:ind w:left="1814" w:right="750"/>
        <w:rPr>
          <w:rFonts w:ascii="Times New Roman" w:hAnsi="Times New Roman"/>
          <w:color w:val="000000"/>
          <w:sz w:val="24"/>
          <w:szCs w:val="24"/>
          <w:lang w:val="az-Latn-AZ"/>
        </w:rPr>
      </w:pPr>
      <w:r w:rsidRPr="009C2EF2">
        <w:rPr>
          <w:rFonts w:ascii="Times New Roman" w:hAnsi="Times New Roman"/>
          <w:color w:val="231F20"/>
          <w:sz w:val="24"/>
          <w:szCs w:val="24"/>
          <w:lang w:val="az-Latn-AZ"/>
        </w:rPr>
        <w:t>gəlir və xərclərin gələcəkdə davam etməsi gözlənilən əməliyyatlara uyğun səviyyədə tənzimlənməsi,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2"/>
          <w:numId w:val="65"/>
        </w:numPr>
        <w:tabs>
          <w:tab w:val="left" w:pos="1815"/>
        </w:tabs>
        <w:kinsoku w:val="0"/>
        <w:overflowPunct w:val="0"/>
        <w:spacing w:line="250" w:lineRule="auto"/>
        <w:ind w:left="1814" w:right="1290"/>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qiymətləndirilən müəssisə və oxşar prinsiplər əsasında müqayisə edilə bilən müəssisələr haqqında maliyyə məlumatlarının verilməsi,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2"/>
          <w:numId w:val="65"/>
        </w:numPr>
        <w:tabs>
          <w:tab w:val="left" w:pos="1815"/>
        </w:tabs>
        <w:kinsoku w:val="0"/>
        <w:overflowPunct w:val="0"/>
        <w:spacing w:line="250" w:lineRule="auto"/>
        <w:ind w:left="1814" w:right="750"/>
        <w:rPr>
          <w:rFonts w:ascii="Times New Roman" w:hAnsi="Times New Roman"/>
          <w:color w:val="000000"/>
          <w:sz w:val="24"/>
          <w:szCs w:val="24"/>
          <w:lang w:val="az-Latn-AZ"/>
        </w:rPr>
      </w:pPr>
      <w:r w:rsidRPr="009C2EF2">
        <w:rPr>
          <w:rFonts w:ascii="Times New Roman" w:hAnsi="Times New Roman"/>
          <w:color w:val="231F20"/>
          <w:sz w:val="24"/>
          <w:szCs w:val="24"/>
          <w:lang w:val="az-Latn-AZ"/>
        </w:rPr>
        <w:t>müstəqil tərəflər arasında sövdələşmənin (məsələn, müştərilər və ya təchizatçılar ilə bağlanmış müqavilələr) bazar qiymətlərinə uyğunlaşdırılması,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5"/>
        </w:numPr>
        <w:tabs>
          <w:tab w:val="left" w:pos="1815"/>
        </w:tabs>
        <w:kinsoku w:val="0"/>
        <w:overflowPunct w:val="0"/>
        <w:spacing w:line="250" w:lineRule="auto"/>
        <w:ind w:left="1814"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üçüncü tərəfdən müqavilə əsasında alınmış və ya icarəyə götürülmüş avadanlıqların və ya əmək haqqı xərclərinin bazar qiymətlərinə və dərəcələrinə uyğun tənzimlənməsi,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2"/>
          <w:numId w:val="65"/>
        </w:numPr>
        <w:tabs>
          <w:tab w:val="left" w:pos="1815"/>
        </w:tabs>
        <w:kinsoku w:val="0"/>
        <w:overflowPunct w:val="0"/>
        <w:spacing w:line="250" w:lineRule="auto"/>
        <w:ind w:left="1814" w:right="8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tarixi gəlir və xərclər əsasında birdəfəlik hadisələrin təsirinin əks olunması. Birdəfəlik hadisələrə tətillərin səbəb olduğu itkilər, yeni müəssisənin işə düşməsi və hava hadisələri daxildir. Proqnozlaşdırılmış pul axınları əsaslı şəkildə proqnozlaşdırıla bilən birdəfəlik gəlir və ya xərcləri əks </w:t>
      </w:r>
      <w:r w:rsidRPr="009C2EF2">
        <w:rPr>
          <w:rFonts w:ascii="Times New Roman" w:hAnsi="Times New Roman"/>
          <w:i/>
          <w:color w:val="231F20"/>
          <w:spacing w:val="1"/>
          <w:sz w:val="24"/>
          <w:szCs w:val="24"/>
          <w:lang w:val="az-Latn-AZ"/>
        </w:rPr>
        <w:t xml:space="preserve">etdirməlidir </w:t>
      </w:r>
      <w:r w:rsidRPr="009C2EF2">
        <w:rPr>
          <w:rFonts w:ascii="Times New Roman" w:hAnsi="Times New Roman"/>
          <w:color w:val="231F20"/>
          <w:spacing w:val="1"/>
          <w:sz w:val="24"/>
          <w:szCs w:val="24"/>
          <w:lang w:val="az-Latn-AZ"/>
        </w:rPr>
        <w:t xml:space="preserve">və keçmiş hadisələr gələcəkdə bənzər hadisələrin göstəricisi ola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və</w:t>
      </w: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52</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5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0995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4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F47F9E" id="Freeform 123" o:spid="_x0000_s1026" style="position:absolute;margin-left:408.15pt;margin-top:0;width:34pt;height:663.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Mr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AggTK3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4E5D77">
      <w:pPr>
        <w:pStyle w:val="a3"/>
        <w:kinsoku w:val="0"/>
        <w:overflowPunct w:val="0"/>
        <w:spacing w:before="79"/>
        <w:ind w:left="2878" w:right="288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2"/>
          <w:numId w:val="65"/>
        </w:numPr>
        <w:tabs>
          <w:tab w:val="left" w:pos="965"/>
        </w:tabs>
        <w:kinsoku w:val="0"/>
        <w:overflowPunct w:val="0"/>
        <w:spacing w:before="77" w:line="250" w:lineRule="auto"/>
        <w:ind w:left="964"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uçotları fərqli bazalarda saxlanıla </w:t>
      </w:r>
      <w:r w:rsidRPr="009C2EF2">
        <w:rPr>
          <w:rFonts w:ascii="Times New Roman" w:hAnsi="Times New Roman"/>
          <w:i/>
          <w:color w:val="231F20"/>
          <w:spacing w:val="-1"/>
          <w:sz w:val="24"/>
          <w:szCs w:val="24"/>
          <w:lang w:val="az-Latn-AZ"/>
        </w:rPr>
        <w:t xml:space="preserve">bilən </w:t>
      </w:r>
      <w:r w:rsidRPr="009C2EF2">
        <w:rPr>
          <w:rFonts w:ascii="Times New Roman" w:hAnsi="Times New Roman"/>
          <w:color w:val="231F20"/>
          <w:sz w:val="24"/>
          <w:szCs w:val="24"/>
          <w:lang w:val="az-Latn-AZ"/>
        </w:rPr>
        <w:t>oxşar müəssisələrlə müqayisə etmək üçün və ya iqtisadi reallığı daha dəqiq əks etdirmək üçün inventar uçotunun tənzimlənməsi.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65"/>
        </w:numPr>
        <w:tabs>
          <w:tab w:val="left" w:pos="681"/>
          <w:tab w:val="left" w:pos="6660"/>
        </w:tabs>
        <w:kinsoku w:val="0"/>
        <w:overflowPunct w:val="0"/>
        <w:spacing w:line="250" w:lineRule="auto"/>
        <w:ind w:left="680" w:right="113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yanaşmasından istifadə edərkən pul axınları ilə bağlı verilən proqnozlarda və ya qəbul edilmiş diskont faiz dərəcələrində nəzərə alınmayan məsələləri göstərmək üçün qiymətləndirmələr üzərində müəyyən tənzimləmələrin aparılması tələb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Qiymərləndirilən səhmin rəqabət qabiliyyəti ilə bağlı tənzimləmələr, qiymətləndirilən səhmin səhmlərin nəzarət paketindən və ya sahə üzrə nəzarət paketi olmayan iştirak paylarından ibarət olub-olmaması ilə bağlı tənzimləmələr misal olaraq göstərilə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Lakin,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 xml:space="preserve">pul axınlarında və ya diskont faiz dərəcələrində artıq əks olunmuş amillərin qiymətləndirmə ilə bağlı edilmiş tənzimləmələrdə əks olunmamasını təmin etməlidirlər. Məsələn, səhmlərin nəzarət paketindən və ya nəzarət paketi olmayan iştirak paylarından ibarət olub-olmamasından asılı olmayaraq </w:t>
      </w:r>
      <w:r w:rsidR="0075026C"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91168" behindDoc="0" locked="0" layoutInCell="0" allowOverlap="1">
                <wp:simplePos x="0" y="0"/>
                <wp:positionH relativeFrom="page">
                  <wp:posOffset>5276215</wp:posOffset>
                </wp:positionH>
                <wp:positionV relativeFrom="paragraph">
                  <wp:posOffset>164465</wp:posOffset>
                </wp:positionV>
                <wp:extent cx="152400" cy="3830320"/>
                <wp:effectExtent l="0" t="0" r="0" b="0"/>
                <wp:wrapNone/>
                <wp:docPr id="14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1" type="#_x0000_t202" style="position:absolute;left:0;text-align:left;margin-left:415.45pt;margin-top:12.95pt;width:12pt;height:301.6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WysgIAALU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Pr="009C2EF2">
        <w:rPr>
          <w:rFonts w:ascii="Times New Roman" w:hAnsi="Times New Roman"/>
          <w:color w:val="231F20"/>
          <w:sz w:val="24"/>
          <w:szCs w:val="24"/>
          <w:lang w:val="az-Latn-AZ"/>
        </w:rPr>
        <w:t>qiymətləndirilən səhm proqnozlaşdırılmış pul axınında artıq əks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5"/>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Əksər müəssisələr vahid pul axını planı əsasında qiymətləndirilə </w:t>
      </w:r>
      <w:r w:rsidRPr="009C2EF2">
        <w:rPr>
          <w:rFonts w:ascii="Times New Roman" w:hAnsi="Times New Roman"/>
          <w:i/>
          <w:color w:val="231F20"/>
          <w:spacing w:val="-1"/>
          <w:sz w:val="24"/>
          <w:szCs w:val="24"/>
          <w:lang w:val="az-Latn-AZ"/>
        </w:rPr>
        <w:t xml:space="preserve">bildiyi </w:t>
      </w:r>
      <w:r w:rsidRPr="009C2EF2">
        <w:rPr>
          <w:rFonts w:ascii="Times New Roman" w:hAnsi="Times New Roman"/>
          <w:color w:val="231F20"/>
          <w:sz w:val="24"/>
          <w:szCs w:val="24"/>
          <w:lang w:val="az-Latn-AZ"/>
        </w:rPr>
        <w:t xml:space="preserve">halda, qiymətləndiricilər gələcək pul axınlarının çəkisi və vaxtı ilə bağlı </w:t>
      </w:r>
      <w:r w:rsidRPr="009C2EF2">
        <w:rPr>
          <w:rFonts w:ascii="Times New Roman" w:hAnsi="Times New Roman"/>
          <w:i/>
          <w:color w:val="231F20"/>
          <w:sz w:val="24"/>
          <w:szCs w:val="24"/>
          <w:lang w:val="az-Latn-AZ"/>
        </w:rPr>
        <w:t xml:space="preserve">dəqiq </w:t>
      </w:r>
      <w:r w:rsidRPr="009C2EF2">
        <w:rPr>
          <w:rFonts w:ascii="Times New Roman" w:hAnsi="Times New Roman"/>
          <w:color w:val="231F20"/>
          <w:sz w:val="24"/>
          <w:szCs w:val="24"/>
          <w:lang w:val="az-Latn-AZ"/>
        </w:rPr>
        <w:t xml:space="preserve">məlumat olmadığı təqdirdə çox planlı modellərdən və ya simulyasiya modellərindən də istifadə edə </w:t>
      </w:r>
      <w:r w:rsidRPr="009C2EF2">
        <w:rPr>
          <w:rFonts w:ascii="Times New Roman" w:hAnsi="Times New Roman"/>
          <w:i/>
          <w:color w:val="231F20"/>
          <w:sz w:val="24"/>
          <w:szCs w:val="24"/>
          <w:lang w:val="az-Latn-AZ"/>
        </w:rPr>
        <w:t>bilərlər</w:t>
      </w:r>
      <w:r w:rsidRPr="009C2EF2">
        <w:rPr>
          <w:rFonts w:ascii="Times New Roman" w:hAnsi="Times New Roman"/>
          <w:color w:val="231F20"/>
          <w:sz w:val="24"/>
          <w:szCs w:val="24"/>
          <w:lang w:val="az-Latn-AZ"/>
        </w:rPr>
        <w:t>.</w:t>
      </w:r>
    </w:p>
    <w:p w:rsidR="00D02DD9" w:rsidRPr="009C2EF2" w:rsidRDefault="003C64E0">
      <w:pPr>
        <w:pStyle w:val="Heading41"/>
        <w:numPr>
          <w:ilvl w:val="0"/>
          <w:numId w:val="64"/>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rsidP="00A51157">
      <w:pPr>
        <w:pStyle w:val="a3"/>
        <w:numPr>
          <w:ilvl w:val="1"/>
          <w:numId w:val="64"/>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standartının 70.2 və ya 70.3 bəndlərinin tələblərinə uyğun gəlmədiyinə görə müəssisələrin və iştirak paylarının qiymətləndirilməsində xərc yanaşmasına</w:t>
      </w:r>
      <w:r w:rsidR="004E5D77"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üstünlük verilmir. Lakin müəssisələrin qiymətləndirilməsində xərc yanaşmasından bəzən istifadə edilə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63"/>
        </w:numPr>
        <w:tabs>
          <w:tab w:val="left" w:pos="965"/>
        </w:tabs>
        <w:kinsoku w:val="0"/>
        <w:overflowPunct w:val="0"/>
        <w:spacing w:line="250" w:lineRule="auto"/>
        <w:ind w:left="964"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mənfəət və pul axınları hələ tam formalaşmayan, bazar yanaşması əsasında digər müəssisələrlə müqayisəsi səmərəsiz və ya etibarsız olan, fəaliyyətə yenicə başlamış müəssisə olduqda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63"/>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müəssisə  toplama metodunun BQS 105 Qiymətləndirmə Yanaşmaları və Metodları standartının 70.8-70.9 bəndlərində təsvir edildiyi şəkildə tətbiq olunduğu investisiya şirkəti və ya holdinq şirkəti olduqda,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4E5D77">
      <w:pPr>
        <w:pStyle w:val="a3"/>
        <w:numPr>
          <w:ilvl w:val="0"/>
          <w:numId w:val="63"/>
        </w:numPr>
        <w:tabs>
          <w:tab w:val="left" w:pos="965"/>
        </w:tabs>
        <w:kinsoku w:val="0"/>
        <w:overflowPunct w:val="0"/>
        <w:spacing w:line="250" w:lineRule="auto"/>
        <w:ind w:left="964" w:right="108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 fəaliyyətini davam etdirə bilmədikdə və ya ləğv olunacaq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 xml:space="preserve">dəyəri fəaliyyətini davam etdirən müəssisə kimi şirkət dəyərindən çox </w:t>
      </w:r>
      <w:r w:rsidRPr="009C2EF2">
        <w:rPr>
          <w:rFonts w:ascii="Times New Roman" w:hAnsi="Times New Roman"/>
          <w:i/>
          <w:color w:val="231F20"/>
          <w:spacing w:val="-1"/>
          <w:sz w:val="24"/>
          <w:szCs w:val="24"/>
          <w:lang w:val="az-Latn-AZ"/>
        </w:rPr>
        <w:t>olduqda</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4"/>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və ya müəssisənin iştirak payının xərc yanaşması əsasında qiymətləndirildiyi hallarda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standartının 70 və 80-cı bölmələrini nəzərə almalıdırlar.</w:t>
      </w:r>
    </w:p>
    <w:p w:rsidR="00D02DD9" w:rsidRPr="009C2EF2" w:rsidRDefault="003C64E0">
      <w:pPr>
        <w:pStyle w:val="Heading41"/>
        <w:numPr>
          <w:ilvl w:val="0"/>
          <w:numId w:val="62"/>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Müəssisələr və Müəssisənin İştirak Payları haqqında Xüsusi Mülahizələr</w:t>
      </w:r>
    </w:p>
    <w:p w:rsidR="00D02DD9" w:rsidRPr="009C2EF2" w:rsidRDefault="003C64E0">
      <w:pPr>
        <w:pStyle w:val="a3"/>
        <w:numPr>
          <w:ilvl w:val="1"/>
          <w:numId w:val="62"/>
        </w:numPr>
        <w:tabs>
          <w:tab w:val="left" w:pos="681"/>
        </w:tabs>
        <w:kinsoku w:val="0"/>
        <w:overflowPunct w:val="0"/>
        <w:spacing w:before="122"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Aşağıdakı bölmələrdə müəssisə və müəssisənin iştirak paylarının qiymətləndirilməsi ilə bağlı məsələlərin natamam siyahısından bəhs olunur:</w:t>
      </w:r>
    </w:p>
    <w:p w:rsidR="00D02DD9" w:rsidRPr="009C2EF2" w:rsidRDefault="003C64E0">
      <w:pPr>
        <w:pStyle w:val="a3"/>
        <w:numPr>
          <w:ilvl w:val="2"/>
          <w:numId w:val="6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Mülkiyyət Hüquqları (bölmə 90).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6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Biznes haqqında məlumat (bölmə 100).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6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İqtisadiyyat və Sənayeyə dair Mülahizələr (bölmə 110).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6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Əməliyyat və Qeyri-Əməliyyat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z w:val="24"/>
          <w:szCs w:val="24"/>
          <w:lang w:val="az-Latn-AZ"/>
        </w:rPr>
        <w:t>(bölmə 120).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6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Kapital Strukturu ilə bağlı Mülahizələr (bölmə 130)</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53</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5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0976" behindDoc="1" locked="0" layoutInCell="0" allowOverlap="1">
                <wp:simplePos x="0" y="0"/>
                <wp:positionH relativeFrom="page">
                  <wp:posOffset>0</wp:posOffset>
                </wp:positionH>
                <wp:positionV relativeFrom="page">
                  <wp:posOffset>0</wp:posOffset>
                </wp:positionV>
                <wp:extent cx="432435" cy="8424545"/>
                <wp:effectExtent l="0" t="0" r="0" b="0"/>
                <wp:wrapNone/>
                <wp:docPr id="14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1966F5" id="Freeform 125" o:spid="_x0000_s1026" style="position:absolute;margin-left:0;margin-top:0;width:34.05pt;height:663.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ynDjvGEDAACG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Heading41"/>
        <w:numPr>
          <w:ilvl w:val="0"/>
          <w:numId w:val="61"/>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Mülkiyyət Hüquqları</w:t>
      </w:r>
    </w:p>
    <w:p w:rsidR="00D02DD9" w:rsidRPr="009C2EF2" w:rsidRDefault="003C64E0">
      <w:pPr>
        <w:pStyle w:val="a3"/>
        <w:numPr>
          <w:ilvl w:val="1"/>
          <w:numId w:val="61"/>
        </w:numPr>
        <w:tabs>
          <w:tab w:val="left" w:pos="1531"/>
        </w:tabs>
        <w:kinsoku w:val="0"/>
        <w:overflowPunct w:val="0"/>
        <w:spacing w:before="122" w:line="250" w:lineRule="auto"/>
        <w:ind w:right="116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İştirak payı ilə bağlı hüquqlar, imtiyazlar və ya şərtlər sahibkarlıq, korporativ və ya tərəfdaşlıq formasından asılı olmayaraq qiymətləndirmə prosesində nəzərə alınmalıdır. Mülkiyyət hüquqları əsasnamə, memorandum, təsis sənədləri, nizamnamələr, tərəfdaşlıq müqavilələri və səhmdar müqavilələri (bundan sonra birlikdə "korporativ sənədlər" kimi istinad ediləcək) kimi hüquqi sənədlərin </w:t>
      </w:r>
      <w:r w:rsidRPr="009C2EF2">
        <w:rPr>
          <w:rFonts w:ascii="Times New Roman" w:hAnsi="Times New Roman"/>
          <w:i/>
          <w:color w:val="231F20"/>
          <w:spacing w:val="1"/>
          <w:sz w:val="24"/>
          <w:szCs w:val="24"/>
          <w:lang w:val="az-Latn-AZ"/>
        </w:rPr>
        <w:t xml:space="preserve">yurisdikdiyası </w:t>
      </w:r>
      <w:r w:rsidRPr="009C2EF2">
        <w:rPr>
          <w:rFonts w:ascii="Times New Roman" w:hAnsi="Times New Roman"/>
          <w:color w:val="231F20"/>
          <w:sz w:val="24"/>
          <w:szCs w:val="24"/>
          <w:lang w:val="az-Latn-AZ"/>
        </w:rPr>
        <w:t xml:space="preserve">əsasında müəyyənləşdirilir.. Bəzi hallarda hüquqi və benefisiar mülkiyyəti fərqləndirmək lazım </w:t>
      </w:r>
      <w:r w:rsidRPr="009C2EF2">
        <w:rPr>
          <w:rFonts w:ascii="Times New Roman" w:hAnsi="Times New Roman"/>
          <w:i/>
          <w:color w:val="231F20"/>
          <w:spacing w:val="-1"/>
          <w:sz w:val="24"/>
          <w:szCs w:val="24"/>
          <w:lang w:val="az-Latn-AZ"/>
        </w:rPr>
        <w:t>gələcək</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rsidP="00537609">
      <w:pPr>
        <w:pStyle w:val="a3"/>
        <w:numPr>
          <w:ilvl w:val="1"/>
          <w:numId w:val="61"/>
        </w:numPr>
        <w:tabs>
          <w:tab w:val="left" w:pos="1531"/>
        </w:tabs>
        <w:kinsoku w:val="0"/>
        <w:overflowPunct w:val="0"/>
        <w:spacing w:line="250" w:lineRule="auto"/>
        <w:ind w:right="1192"/>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2192" behindDoc="0" locked="0" layoutInCell="0" allowOverlap="1">
                <wp:simplePos x="0" y="0"/>
                <wp:positionH relativeFrom="page">
                  <wp:posOffset>151130</wp:posOffset>
                </wp:positionH>
                <wp:positionV relativeFrom="paragraph">
                  <wp:posOffset>366395</wp:posOffset>
                </wp:positionV>
                <wp:extent cx="152400" cy="38303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2" type="#_x0000_t202" style="position:absolute;left:0;text-align:left;margin-left:11.9pt;margin-top:28.85pt;width:12pt;height:301.6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IAtA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z w:val="24"/>
          <w:szCs w:val="24"/>
          <w:lang w:val="az-Latn-AZ"/>
        </w:rPr>
        <w:t xml:space="preserve">Korporativ sənədlərdə səhmin ötürülməsi ilə bağlı qadağalardan və ya dəyərlə bağlı digər müddəalardan da bəhs oluna </w:t>
      </w:r>
      <w:r w:rsidR="003C64E0" w:rsidRPr="009C2EF2">
        <w:rPr>
          <w:rFonts w:ascii="Times New Roman" w:hAnsi="Times New Roman"/>
          <w:i/>
          <w:color w:val="231F20"/>
          <w:spacing w:val="-1"/>
          <w:sz w:val="24"/>
          <w:szCs w:val="24"/>
          <w:lang w:val="az-Latn-AZ"/>
        </w:rPr>
        <w:t xml:space="preserve">bilər </w:t>
      </w:r>
      <w:r w:rsidR="003C64E0" w:rsidRPr="009C2EF2">
        <w:rPr>
          <w:rFonts w:ascii="Times New Roman" w:hAnsi="Times New Roman"/>
          <w:color w:val="231F20"/>
          <w:sz w:val="24"/>
          <w:szCs w:val="24"/>
          <w:lang w:val="az-Latn-AZ"/>
        </w:rPr>
        <w:t xml:space="preserve">. Məsələn, korporativ sənədlər səhmlərin nəzarət paketi və ya nəzarət paketi </w:t>
      </w:r>
      <w:r w:rsidR="003C64E0" w:rsidRPr="009C2EF2">
        <w:rPr>
          <w:rFonts w:ascii="Times New Roman" w:hAnsi="Times New Roman"/>
          <w:i/>
          <w:color w:val="231F20"/>
          <w:spacing w:val="-1"/>
          <w:sz w:val="24"/>
          <w:szCs w:val="24"/>
          <w:lang w:val="az-Latn-AZ"/>
        </w:rPr>
        <w:t xml:space="preserve">olmayan </w:t>
      </w:r>
      <w:r w:rsidR="003C64E0" w:rsidRPr="009C2EF2">
        <w:rPr>
          <w:rFonts w:ascii="Times New Roman" w:hAnsi="Times New Roman"/>
          <w:color w:val="231F20"/>
          <w:sz w:val="24"/>
          <w:szCs w:val="24"/>
          <w:lang w:val="az-Latn-AZ"/>
        </w:rPr>
        <w:t xml:space="preserve">iştirak paylarından ibarət olub-olmamasından asılı olmayaraq buraxılmış bütün kapitalların müvafiq fraksiyada </w:t>
      </w:r>
      <w:r w:rsidR="003C64E0" w:rsidRPr="009C2EF2">
        <w:rPr>
          <w:rFonts w:ascii="Times New Roman" w:hAnsi="Times New Roman"/>
          <w:i/>
          <w:color w:val="231F20"/>
          <w:spacing w:val="1"/>
          <w:sz w:val="24"/>
          <w:szCs w:val="24"/>
          <w:lang w:val="az-Latn-AZ"/>
        </w:rPr>
        <w:t>qiymətləndirilməli</w:t>
      </w:r>
      <w:r w:rsidR="001F22AE" w:rsidRPr="009C2EF2">
        <w:rPr>
          <w:rFonts w:ascii="Times New Roman" w:hAnsi="Times New Roman"/>
          <w:i/>
          <w:color w:val="231F20"/>
          <w:spacing w:val="1"/>
          <w:sz w:val="24"/>
          <w:szCs w:val="24"/>
          <w:lang w:val="az-Latn-AZ"/>
        </w:rPr>
        <w:t xml:space="preserve"> </w:t>
      </w:r>
      <w:r w:rsidR="003C64E0" w:rsidRPr="009C2EF2">
        <w:rPr>
          <w:rFonts w:ascii="Times New Roman" w:hAnsi="Times New Roman"/>
          <w:color w:val="231F20"/>
          <w:sz w:val="24"/>
          <w:szCs w:val="24"/>
          <w:lang w:val="az-Latn-AZ"/>
        </w:rPr>
        <w:t>olduğunu göstərə bilər. İstənilən halda qiymətləndirilən səhm ilə, eləcə də, digər səhm sinfiləri ilə bağlı hüquqlar qabaqcadan 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1"/>
        </w:numPr>
        <w:tabs>
          <w:tab w:val="left" w:pos="1531"/>
        </w:tabs>
        <w:kinsoku w:val="0"/>
        <w:overflowPunct w:val="0"/>
        <w:spacing w:line="250" w:lineRule="auto"/>
        <w:ind w:right="125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Səhmə xas hüquq və öhdəliklər ilə </w:t>
      </w:r>
      <w:r w:rsidRPr="009C2EF2">
        <w:rPr>
          <w:rFonts w:ascii="Times New Roman" w:hAnsi="Times New Roman"/>
          <w:i/>
          <w:color w:val="231F20"/>
          <w:spacing w:val="-1"/>
          <w:sz w:val="24"/>
          <w:szCs w:val="24"/>
          <w:lang w:val="az-Latn-AZ"/>
        </w:rPr>
        <w:t xml:space="preserve">xüsusi </w:t>
      </w:r>
      <w:r w:rsidRPr="009C2EF2">
        <w:rPr>
          <w:rFonts w:ascii="Times New Roman" w:hAnsi="Times New Roman"/>
          <w:color w:val="231F20"/>
          <w:sz w:val="24"/>
          <w:szCs w:val="24"/>
          <w:lang w:val="az-Latn-AZ"/>
        </w:rPr>
        <w:t xml:space="preserve">səhmdarın hüquq və öhdəlikləri (yəni, iştirak payının potensial alıcısına aid </w:t>
      </w:r>
      <w:r w:rsidRPr="009C2EF2">
        <w:rPr>
          <w:rFonts w:ascii="Times New Roman" w:hAnsi="Times New Roman"/>
          <w:i/>
          <w:color w:val="231F20"/>
          <w:spacing w:val="-1"/>
          <w:sz w:val="24"/>
          <w:szCs w:val="24"/>
          <w:lang w:val="az-Latn-AZ"/>
        </w:rPr>
        <w:t>olmayan</w:t>
      </w:r>
      <w:r w:rsidRPr="009C2EF2">
        <w:rPr>
          <w:rFonts w:ascii="Times New Roman" w:hAnsi="Times New Roman"/>
          <w:color w:val="231F20"/>
          <w:sz w:val="24"/>
          <w:szCs w:val="24"/>
          <w:lang w:val="az-Latn-AZ"/>
        </w:rPr>
        <w:t xml:space="preserve">, cari səhmdarların müqavilə əsasında müəyyən edilmiş hüquq və öhdəlikləri) arasındakı fərq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 xml:space="preserve"> . Tətbiq edilən dəyər bazalarından asılı olaraq </w:t>
      </w:r>
      <w:r w:rsidRPr="009C2EF2">
        <w:rPr>
          <w:rFonts w:ascii="Times New Roman" w:hAnsi="Times New Roman"/>
          <w:i/>
          <w:color w:val="231F20"/>
          <w:sz w:val="24"/>
          <w:szCs w:val="24"/>
          <w:lang w:val="az-Latn-AZ"/>
        </w:rPr>
        <w:t xml:space="preserve">qiymətləndiricidən </w:t>
      </w:r>
      <w:r w:rsidRPr="009C2EF2">
        <w:rPr>
          <w:rFonts w:ascii="Times New Roman" w:hAnsi="Times New Roman"/>
          <w:color w:val="231F20"/>
          <w:sz w:val="24"/>
          <w:szCs w:val="24"/>
          <w:lang w:val="az-Latn-AZ"/>
        </w:rPr>
        <w:t>ya təkcə qiymətləndirilən paya xas hüquq və öhdəliklər, ya da qiymətləndirilən paya xas hüquq və öhdəliklər ilə bərabər xüsusi səhmdarın hüquq və öhdəliklərini nəzərə almaq tələb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61"/>
        </w:numPr>
        <w:tabs>
          <w:tab w:val="left" w:pos="1531"/>
        </w:tabs>
        <w:kinsoku w:val="0"/>
        <w:overflowPunct w:val="0"/>
        <w:spacing w:line="250" w:lineRule="auto"/>
        <w:ind w:right="19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zamanı aşağıdakılarla bərabər qiymətləndirilən müəssisə və ya iştirak payı ilə bağlı bütün hüquqlar və imtiyazlar 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61"/>
        </w:numPr>
        <w:tabs>
          <w:tab w:val="left" w:pos="1815"/>
        </w:tabs>
        <w:kinsoku w:val="0"/>
        <w:overflowPunct w:val="0"/>
        <w:spacing w:line="250" w:lineRule="auto"/>
        <w:ind w:left="1814" w:right="137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müxtəlif siniflərdən səhmlər iştirak etdiyi təqdirdə qiymətləndirmə zamanı həmin siniflərə aid hüquqlar </w:t>
      </w:r>
      <w:r w:rsidRPr="009C2EF2">
        <w:rPr>
          <w:rFonts w:ascii="Times New Roman" w:hAnsi="Times New Roman"/>
          <w:color w:val="231F20"/>
          <w:sz w:val="24"/>
          <w:szCs w:val="24"/>
          <w:lang w:val="az-Latn-AZ"/>
        </w:rPr>
        <w:lastRenderedPageBreak/>
        <w:t xml:space="preserve">nəzərə </w:t>
      </w:r>
      <w:r w:rsidRPr="009C2EF2">
        <w:rPr>
          <w:rFonts w:ascii="Times New Roman" w:hAnsi="Times New Roman"/>
          <w:i/>
          <w:color w:val="231F20"/>
          <w:spacing w:val="1"/>
          <w:sz w:val="24"/>
          <w:szCs w:val="24"/>
          <w:lang w:val="az-Latn-AZ"/>
        </w:rPr>
        <w:t>alınmalıdır</w:t>
      </w:r>
      <w:r w:rsidRPr="009C2EF2">
        <w:rPr>
          <w:rFonts w:ascii="Times New Roman" w:hAnsi="Times New Roman"/>
          <w:color w:val="231F20"/>
          <w:sz w:val="24"/>
          <w:szCs w:val="24"/>
          <w:lang w:val="az-Latn-AZ"/>
        </w:rPr>
        <w:t>, həmin hüquqlara daxildir (lakin bunlarla məhdudlaşmır):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61"/>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ləğvetmə hüquqları,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61"/>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səsvermə hüququ,</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61"/>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ödəmə, konversiya və iştirak etmə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61"/>
        </w:numPr>
        <w:tabs>
          <w:tab w:val="left" w:pos="2098"/>
        </w:tabs>
        <w:kinsoku w:val="0"/>
        <w:overflowPunct w:val="0"/>
        <w:ind w:left="209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qoymaq və/və ya çağırmaq hüquqları.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A51157">
      <w:pPr>
        <w:pStyle w:val="a3"/>
        <w:numPr>
          <w:ilvl w:val="2"/>
          <w:numId w:val="61"/>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Müəssisədə səhmlərin nəzarət paketi nəzarət paketi olmayan iştirak paylarından yüksək </w:t>
      </w:r>
      <w:r w:rsidRPr="009C2EF2">
        <w:rPr>
          <w:rFonts w:ascii="Times New Roman" w:hAnsi="Times New Roman"/>
          <w:i/>
          <w:color w:val="231F20"/>
          <w:spacing w:val="-1"/>
          <w:sz w:val="24"/>
          <w:szCs w:val="24"/>
          <w:lang w:val="az-Latn-AZ"/>
        </w:rPr>
        <w:t>olduqda</w:t>
      </w:r>
      <w:r w:rsidRPr="009C2EF2">
        <w:rPr>
          <w:rFonts w:ascii="Times New Roman" w:hAnsi="Times New Roman"/>
          <w:color w:val="231F20"/>
          <w:spacing w:val="1"/>
          <w:sz w:val="24"/>
          <w:szCs w:val="24"/>
          <w:lang w:val="az-Latn-AZ"/>
        </w:rPr>
        <w:t>. Tətbiq edilmiş qiymətləndirmə metodlarından asılı olaraq nəzarətə görə mükafat və ya nəzarətin azlığına görə güzəşt tətbiq</w:t>
      </w:r>
      <w:r w:rsidR="00FD4253" w:rsidRPr="009C2EF2">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pacing w:val="1"/>
          <w:sz w:val="24"/>
          <w:szCs w:val="24"/>
          <w:lang w:val="az-Latn-AZ"/>
        </w:rPr>
        <w:t xml:space="preserve"> standartının 30.17.(b) bəndinə baxın). Tamamlanmış əməliyyatlar ilə bağlı ödənilmiş faktiki mükafatlara nəzərən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sinerjilərin və alıcını bu mükafatları ödəməyə məcbur edən digər amillərin</w:t>
      </w:r>
      <w:r w:rsidR="00FD4253"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z w:val="24"/>
          <w:szCs w:val="24"/>
          <w:lang w:val="az-Latn-AZ"/>
        </w:rPr>
        <w:t>nə dərəcədə aid olub-olmayacağını müəyyənləşdirməlidir.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60"/>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Biznes haqqında məlumat</w:t>
      </w:r>
    </w:p>
    <w:p w:rsidR="00D02DD9" w:rsidRPr="009C2EF2" w:rsidRDefault="003C64E0">
      <w:pPr>
        <w:pStyle w:val="a3"/>
        <w:numPr>
          <w:ilvl w:val="1"/>
          <w:numId w:val="60"/>
        </w:numPr>
        <w:tabs>
          <w:tab w:val="left" w:pos="1531"/>
        </w:tabs>
        <w:kinsoku w:val="0"/>
        <w:overflowPunct w:val="0"/>
        <w:spacing w:before="122" w:line="250" w:lineRule="auto"/>
        <w:ind w:right="152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Sahibkarlıq fəaliyyəti subyektinin və ya iştirak payının qiymətləndirməsi rəhbərlik, rəhbərliyin nümayəndələri və digər ekspertlər tərəfindən verilmiş məlumatın etibarlılığını tələb edir.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standartının 10.7 bəndinə əsasən </w:t>
      </w:r>
      <w:r w:rsidRPr="009C2EF2">
        <w:rPr>
          <w:rFonts w:ascii="Times New Roman" w:hAnsi="Times New Roman"/>
          <w:i/>
          <w:color w:val="231F20"/>
          <w:sz w:val="24"/>
          <w:szCs w:val="24"/>
          <w:lang w:val="az-Latn-AZ"/>
        </w:rPr>
        <w:t>qiymətləndiric</w:t>
      </w:r>
      <w:r w:rsidR="00FD4253" w:rsidRPr="009C2EF2">
        <w:rPr>
          <w:rFonts w:ascii="Times New Roman" w:hAnsi="Times New Roman"/>
          <w:i/>
          <w:color w:val="231F20"/>
          <w:sz w:val="24"/>
          <w:szCs w:val="24"/>
          <w:lang w:val="az-Latn-AZ"/>
        </w:rPr>
        <w:t>i</w:t>
      </w:r>
      <w:r w:rsidRPr="009C2EF2">
        <w:rPr>
          <w:rFonts w:ascii="Times New Roman" w:hAnsi="Times New Roman"/>
          <w:i/>
          <w:color w:val="231F20"/>
          <w:sz w:val="24"/>
          <w:szCs w:val="24"/>
          <w:lang w:val="az-Latn-AZ"/>
        </w:rPr>
        <w:t xml:space="preserve"> </w:t>
      </w: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54</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6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2000" behindDoc="1" locked="0" layoutInCell="0" allowOverlap="1">
                <wp:simplePos x="0" y="0"/>
                <wp:positionH relativeFrom="page">
                  <wp:posOffset>5183505</wp:posOffset>
                </wp:positionH>
                <wp:positionV relativeFrom="page">
                  <wp:posOffset>0</wp:posOffset>
                </wp:positionV>
                <wp:extent cx="431800" cy="8423910"/>
                <wp:effectExtent l="0" t="0" r="0" b="0"/>
                <wp:wrapNone/>
                <wp:docPr id="14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020A46" id="Freeform 127" o:spid="_x0000_s1026" style="position:absolute;margin-left:408.15pt;margin-top:0;width:34pt;height:663.3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qG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WdF6hn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rəhbərlik, rəhbərliyin nümayəndələri və ya başqa ekspertlərin verdiyi məlumatın doğruluğunu yoxlamalı və həmin məlumatın </w:t>
      </w:r>
      <w:r w:rsidRPr="009C2EF2">
        <w:rPr>
          <w:rFonts w:ascii="Times New Roman" w:hAnsi="Times New Roman"/>
          <w:i/>
          <w:color w:val="231F20"/>
          <w:sz w:val="24"/>
          <w:szCs w:val="24"/>
          <w:lang w:val="az-Latn-AZ"/>
        </w:rPr>
        <w:t>qiymətləndirmənin məqsədi</w:t>
      </w:r>
      <w:r w:rsidRPr="009C2EF2">
        <w:rPr>
          <w:rFonts w:ascii="Times New Roman" w:hAnsi="Times New Roman"/>
          <w:color w:val="231F20"/>
          <w:sz w:val="24"/>
          <w:szCs w:val="24"/>
          <w:lang w:val="az-Latn-AZ"/>
        </w:rPr>
        <w:t xml:space="preserve"> üçün etibarlı hesab edilib-edilməməsini qiymətləndirməlidir.  Məsələn, rəhbərlik tərəfindən verilmiş potensial maliyyə məlumatları </w:t>
      </w:r>
      <w:r w:rsidRPr="009C2EF2">
        <w:rPr>
          <w:rFonts w:ascii="Times New Roman" w:hAnsi="Times New Roman"/>
          <w:i/>
          <w:color w:val="231F20"/>
          <w:spacing w:val="1"/>
          <w:sz w:val="24"/>
          <w:szCs w:val="24"/>
          <w:lang w:val="az-Latn-AZ"/>
        </w:rPr>
        <w:t xml:space="preserve">iştirakçı </w:t>
      </w:r>
      <w:r w:rsidRPr="009C2EF2">
        <w:rPr>
          <w:rFonts w:ascii="Times New Roman" w:hAnsi="Times New Roman"/>
          <w:color w:val="231F20"/>
          <w:sz w:val="24"/>
          <w:szCs w:val="24"/>
          <w:lang w:val="az-Latn-AZ"/>
        </w:rPr>
        <w:t xml:space="preserve">perspektivini tələb edən dəyər bazasına uyğun gəlməmə </w:t>
      </w:r>
      <w:r w:rsidRPr="009C2EF2">
        <w:rPr>
          <w:rFonts w:ascii="Times New Roman" w:hAnsi="Times New Roman"/>
          <w:i/>
          <w:color w:val="231F20"/>
          <w:spacing w:val="-1"/>
          <w:sz w:val="24"/>
          <w:szCs w:val="24"/>
          <w:lang w:val="az-Latn-AZ"/>
        </w:rPr>
        <w:t>ehtimalı olan</w:t>
      </w:r>
      <w:r w:rsidRPr="009C2EF2">
        <w:rPr>
          <w:rFonts w:ascii="Times New Roman" w:hAnsi="Times New Roman"/>
          <w:color w:val="231F20"/>
          <w:sz w:val="24"/>
          <w:szCs w:val="24"/>
          <w:lang w:val="az-Latn-AZ"/>
        </w:rPr>
        <w:t xml:space="preserve"> sahibkara məxsus sinerjiləri əks etdirə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60"/>
        </w:numPr>
        <w:tabs>
          <w:tab w:val="left" w:pos="681"/>
        </w:tabs>
        <w:kinsoku w:val="0"/>
        <w:overflowPunct w:val="0"/>
        <w:spacing w:line="250" w:lineRule="auto"/>
        <w:ind w:left="680" w:right="106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3216" behindDoc="0" locked="0" layoutInCell="0" allowOverlap="1">
                <wp:simplePos x="0" y="0"/>
                <wp:positionH relativeFrom="page">
                  <wp:posOffset>5276215</wp:posOffset>
                </wp:positionH>
                <wp:positionV relativeFrom="paragraph">
                  <wp:posOffset>850265</wp:posOffset>
                </wp:positionV>
                <wp:extent cx="152400" cy="3830320"/>
                <wp:effectExtent l="0" t="0" r="0" b="0"/>
                <wp:wrapNone/>
                <wp:docPr id="1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3" type="#_x0000_t202" style="position:absolute;left:0;text-align:left;margin-left:415.45pt;margin-top:66.95pt;width:12pt;height:301.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A5swIAALU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Qiymətləndirmənin gələcək mülkiyyətin proqnozlaşdırılan faydasını əks etdirməsinə baxmayaraq keçmiş məlumatların gələcək gözləntilərin reallaşdırılmasında mühüm təsiri ola </w:t>
      </w:r>
      <w:r w:rsidR="003C64E0" w:rsidRPr="009C2EF2">
        <w:rPr>
          <w:rFonts w:ascii="Times New Roman" w:hAnsi="Times New Roman"/>
          <w:i/>
          <w:color w:val="231F20"/>
          <w:spacing w:val="-1"/>
          <w:sz w:val="24"/>
          <w:szCs w:val="24"/>
          <w:lang w:val="az-Latn-AZ"/>
        </w:rPr>
        <w:t>bilər</w:t>
      </w:r>
      <w:r w:rsidR="003C64E0" w:rsidRPr="009C2EF2">
        <w:rPr>
          <w:rFonts w:ascii="Times New Roman" w:hAnsi="Times New Roman"/>
          <w:color w:val="231F20"/>
          <w:spacing w:val="1"/>
          <w:sz w:val="24"/>
          <w:szCs w:val="24"/>
          <w:lang w:val="az-Latn-AZ"/>
        </w:rPr>
        <w:t xml:space="preserve">. </w:t>
      </w:r>
      <w:r w:rsidR="00FD4253" w:rsidRPr="009C2EF2">
        <w:rPr>
          <w:rFonts w:ascii="Times New Roman" w:hAnsi="Times New Roman"/>
          <w:color w:val="231F20"/>
          <w:spacing w:val="1"/>
          <w:sz w:val="24"/>
          <w:szCs w:val="24"/>
          <w:lang w:val="az-Latn-AZ"/>
        </w:rPr>
        <w:t>Beləliklə</w:t>
      </w:r>
      <w:r w:rsidR="003C64E0"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pacing w:val="-1"/>
          <w:sz w:val="24"/>
          <w:szCs w:val="24"/>
          <w:lang w:val="az-Latn-AZ"/>
        </w:rPr>
        <w:t xml:space="preserve">qiymətləndiricilər </w:t>
      </w:r>
      <w:r w:rsidR="003C64E0" w:rsidRPr="009C2EF2">
        <w:rPr>
          <w:rFonts w:ascii="Times New Roman" w:hAnsi="Times New Roman"/>
          <w:color w:val="231F20"/>
          <w:spacing w:val="1"/>
          <w:sz w:val="24"/>
          <w:szCs w:val="24"/>
          <w:lang w:val="az-Latn-AZ"/>
        </w:rPr>
        <w:t xml:space="preserve">müəssisənin keçmiş maliyyə hesabatlarını qiymətləndirmə tapşırığının bir hissəsi hesab etməlidirlər. Müəssisənin gələcək fəaliyyətinin əvvəlki fəaliyyətindən </w:t>
      </w:r>
      <w:r w:rsidR="003C64E0" w:rsidRPr="009C2EF2">
        <w:rPr>
          <w:rFonts w:ascii="Times New Roman" w:hAnsi="Times New Roman"/>
          <w:i/>
          <w:color w:val="231F20"/>
          <w:sz w:val="24"/>
          <w:szCs w:val="24"/>
          <w:lang w:val="az-Latn-AZ"/>
        </w:rPr>
        <w:t>əhəmiyyətli dərəcədə</w:t>
      </w:r>
      <w:r w:rsidR="003C64E0" w:rsidRPr="009C2EF2">
        <w:rPr>
          <w:rFonts w:ascii="Times New Roman" w:hAnsi="Times New Roman"/>
          <w:color w:val="231F20"/>
          <w:spacing w:val="1"/>
          <w:sz w:val="24"/>
          <w:szCs w:val="24"/>
          <w:lang w:val="az-Latn-AZ"/>
        </w:rPr>
        <w:t xml:space="preserve"> fərqləndiyi təqdirdə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pacing w:val="1"/>
          <w:sz w:val="24"/>
          <w:szCs w:val="24"/>
          <w:lang w:val="az-Latn-AZ"/>
        </w:rPr>
        <w:t>keçmiş fəaliyyətin müəssisənin gələcək gözləntilərini əks etdirməməsi səbəbini öyrənməlidir.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İqtisadiyyat və Sənayeyə dair Mülahizələr</w:t>
      </w: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3C64E0">
      <w:pPr>
        <w:pStyle w:val="a3"/>
        <w:numPr>
          <w:ilvl w:val="1"/>
          <w:numId w:val="59"/>
        </w:numPr>
        <w:tabs>
          <w:tab w:val="left" w:pos="681"/>
        </w:tabs>
        <w:kinsoku w:val="0"/>
        <w:overflowPunct w:val="0"/>
        <w:spacing w:line="250" w:lineRule="auto"/>
        <w:ind w:left="680" w:right="9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İqtisadi inkişaf və xüsusi sənaye tendensiyaları barədə məlumatlı olmaq bütün qiymətləndirmələr üçün vacib hesab olunur. Siyasi baxış, hökumət siyasəti, valyuta məzənnəsi, </w:t>
      </w:r>
      <w:r w:rsidR="00FD4253" w:rsidRPr="009C2EF2">
        <w:rPr>
          <w:rFonts w:ascii="Times New Roman" w:hAnsi="Times New Roman"/>
          <w:color w:val="231F20"/>
          <w:spacing w:val="-1"/>
          <w:sz w:val="24"/>
          <w:szCs w:val="24"/>
          <w:lang w:val="az-Latn-AZ"/>
        </w:rPr>
        <w:t>inflyasiya</w:t>
      </w:r>
      <w:r w:rsidRPr="009C2EF2">
        <w:rPr>
          <w:rFonts w:ascii="Times New Roman" w:hAnsi="Times New Roman"/>
          <w:color w:val="231F20"/>
          <w:spacing w:val="-1"/>
          <w:sz w:val="24"/>
          <w:szCs w:val="24"/>
          <w:lang w:val="az-Latn-AZ"/>
        </w:rPr>
        <w:t xml:space="preserve">, faiz dərəcəsi və bazar fəaliyyəti müxtəlif lokasiyaların və fərqli sektorların </w:t>
      </w:r>
      <w:r w:rsidRPr="009C2EF2">
        <w:rPr>
          <w:rFonts w:ascii="Times New Roman" w:hAnsi="Times New Roman"/>
          <w:i/>
          <w:color w:val="231F20"/>
          <w:spacing w:val="-1"/>
          <w:sz w:val="24"/>
          <w:szCs w:val="24"/>
          <w:lang w:val="az-Latn-AZ"/>
        </w:rPr>
        <w:t xml:space="preserve">aktivlərinə </w:t>
      </w:r>
      <w:r w:rsidRPr="009C2EF2">
        <w:rPr>
          <w:rFonts w:ascii="Times New Roman" w:hAnsi="Times New Roman"/>
          <w:color w:val="231F20"/>
          <w:spacing w:val="-1"/>
          <w:sz w:val="24"/>
          <w:szCs w:val="24"/>
          <w:lang w:val="az-Latn-AZ"/>
        </w:rPr>
        <w:t xml:space="preserve">təsir edə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 xml:space="preserve">.  Bu amillər, xüsusilə də, müəssisənin və iştirak paylarının qiymətləndirilməsində vacib hesab oluna bilər, çünki müəssisələr müxtəlif lokasiyaları və müxtəlif əməliyyat növlərini  əhatə edən kompleks strukturlara malik ola </w:t>
      </w:r>
      <w:r w:rsidRPr="009C2EF2">
        <w:rPr>
          <w:rFonts w:ascii="Times New Roman" w:hAnsi="Times New Roman"/>
          <w:i/>
          <w:color w:val="231F20"/>
          <w:spacing w:val="-2"/>
          <w:sz w:val="24"/>
          <w:szCs w:val="24"/>
          <w:lang w:val="az-Latn-AZ"/>
        </w:rPr>
        <w:t>bilərlər</w:t>
      </w:r>
      <w:r w:rsidRPr="009C2EF2">
        <w:rPr>
          <w:rFonts w:ascii="Times New Roman" w:hAnsi="Times New Roman"/>
          <w:color w:val="231F20"/>
          <w:spacing w:val="-1"/>
          <w:sz w:val="24"/>
          <w:szCs w:val="24"/>
          <w:lang w:val="az-Latn-AZ"/>
        </w:rPr>
        <w:t xml:space="preserve">. Məsələn, müəssisəyə aşağıdakılarla əlaqəli iqtisadi və sənaye amilləri təsir edə </w:t>
      </w:r>
      <w:r w:rsidRPr="009C2EF2">
        <w:rPr>
          <w:rFonts w:ascii="Times New Roman" w:hAnsi="Times New Roman"/>
          <w:i/>
          <w:color w:val="231F20"/>
          <w:spacing w:val="-2"/>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müəssisənin baş ofisinin qeydə alındığı yer və müəssisənin hüquqi forması,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spacing w:line="250" w:lineRule="auto"/>
        <w:ind w:left="964" w:right="140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 əməliyyatlarının mahiyyəti və hər bir aspektin icra edildiyi yer (məsələn, istehsal əməliyyatları tədqiqat </w:t>
      </w:r>
      <w:r w:rsidRPr="009C2EF2">
        <w:rPr>
          <w:rFonts w:ascii="Times New Roman" w:hAnsi="Times New Roman"/>
          <w:color w:val="231F20"/>
          <w:sz w:val="24"/>
          <w:szCs w:val="24"/>
          <w:lang w:val="az-Latn-AZ"/>
        </w:rPr>
        <w:lastRenderedPageBreak/>
        <w:t xml:space="preserve">və inkişaf işlərinin aparıldığı müxtəlif yerlərdə həyata keçirilə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müəssisənin məhsullarını və ya xidmətlərini satdığı yer,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müəssisənin istifadə etdiyi valyuta(lar),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tədarükçülərinin yerləşdiyi yer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tabe olduğu vergi və hüquqi </w:t>
      </w:r>
      <w:r w:rsidRPr="009C2EF2">
        <w:rPr>
          <w:rFonts w:ascii="Times New Roman" w:hAnsi="Times New Roman"/>
          <w:i/>
          <w:color w:val="231F20"/>
          <w:sz w:val="24"/>
          <w:szCs w:val="24"/>
          <w:lang w:val="az-Latn-AZ"/>
        </w:rPr>
        <w:t>yurisdiksiyalar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58"/>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Əməliyyat və Qeyri-Əməliyyat Aktivləri</w:t>
      </w:r>
    </w:p>
    <w:p w:rsidR="00D02DD9" w:rsidRPr="009C2EF2" w:rsidRDefault="003C64E0">
      <w:pPr>
        <w:pStyle w:val="a3"/>
        <w:numPr>
          <w:ilvl w:val="1"/>
          <w:numId w:val="58"/>
        </w:numPr>
        <w:tabs>
          <w:tab w:val="left" w:pos="681"/>
        </w:tabs>
        <w:kinsoku w:val="0"/>
        <w:overflowPunct w:val="0"/>
        <w:spacing w:before="122"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Müəssisədə iştirak payının qiymətləndirilməsi yalnız həmin dövr üzrə müəssisənin maliyyə vəziyyəti ilə əlaqələndirilir. Müəssisənin</w:t>
      </w:r>
    </w:p>
    <w:p w:rsidR="00D02DD9" w:rsidRPr="009C2EF2" w:rsidRDefault="003C64E0">
      <w:pPr>
        <w:pStyle w:val="a3"/>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pacing w:val="1"/>
          <w:sz w:val="24"/>
          <w:szCs w:val="24"/>
          <w:lang w:val="az-Latn-AZ"/>
        </w:rPr>
        <w:t>və passivlərinin xüsusiyyətini bilmək, müəssisənin gəlir gətirən əməliyyatlarında hansı şərtlərin tələb olunduğunu və onlardan hansının qiymətləndirmə tarixində lazımsız və ya "artıq" olduğunu müəyyənləşdirmək vacibdir.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8"/>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Əksər qiymətləndirmə metodlarında müəssisə əməliyyatı üçün tələb olunmayan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dəyəri nəzərə alınmır. Məsələn EBITDA göstəricisi əsasında qiymətləndirilən müəssisədə yalnız EBITDA səviyyəsinin yaradılmasında istifadə olunan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qiyməti nəzərə alınır. </w:t>
      </w:r>
      <w:r w:rsidR="00FD4253" w:rsidRPr="009C2EF2">
        <w:rPr>
          <w:rFonts w:ascii="Times New Roman" w:hAnsi="Times New Roman"/>
          <w:color w:val="231F20"/>
          <w:spacing w:val="1"/>
          <w:sz w:val="24"/>
          <w:szCs w:val="24"/>
          <w:lang w:val="az-Latn-AZ"/>
        </w:rPr>
        <w:t>Müəssisə</w:t>
      </w:r>
      <w:r w:rsidRPr="009C2EF2">
        <w:rPr>
          <w:rFonts w:ascii="Times New Roman" w:hAnsi="Times New Roman"/>
          <w:color w:val="231F20"/>
          <w:spacing w:val="1"/>
          <w:sz w:val="24"/>
          <w:szCs w:val="24"/>
          <w:lang w:val="az-Latn-AZ"/>
        </w:rPr>
        <w:t xml:space="preserve"> işləməyən müəssisə olub, qeyri-əməliyyat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və ya passivlərinə malik olsaydı, onda</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55</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6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3024" behindDoc="1" locked="0" layoutInCell="0" allowOverlap="1">
                <wp:simplePos x="0" y="0"/>
                <wp:positionH relativeFrom="page">
                  <wp:posOffset>0</wp:posOffset>
                </wp:positionH>
                <wp:positionV relativeFrom="page">
                  <wp:posOffset>0</wp:posOffset>
                </wp:positionV>
                <wp:extent cx="432435" cy="8424545"/>
                <wp:effectExtent l="0" t="0" r="0" b="0"/>
                <wp:wrapNone/>
                <wp:docPr id="14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5DC6B1" id="Freeform 129" o:spid="_x0000_s1026" style="position:absolute;margin-left:0;margin-top:0;width:34.05pt;height:663.3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ehtcF2EDAACG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işləməyən müəssisənin dəyəri qiymətləndirmədə nəzərə alınmayacaqdı. Qiymətləndirmə tapşırığının dəyər səviyyəsindən asılı olaraq (20.3 bəndinə baxın) qeyri-əməliyyat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pacing w:val="1"/>
          <w:sz w:val="24"/>
          <w:szCs w:val="24"/>
          <w:lang w:val="az-Latn-AZ"/>
        </w:rPr>
        <w:t>dəyəri ayrı-ayrılıqda müəyyənləşdirilməli və müəssisəmin əməliyyat dəyərinə əlavə olunmalıdır.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8"/>
        </w:numPr>
        <w:tabs>
          <w:tab w:val="left" w:pos="1531"/>
        </w:tabs>
        <w:kinsoku w:val="0"/>
        <w:overflowPunct w:val="0"/>
        <w:spacing w:line="250" w:lineRule="auto"/>
        <w:ind w:right="175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Müəssisələrin qeydə alınmamış, yəni balans hesabatında əks olunmayan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passivləri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Bu kimi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tam amortizasiya olunmuş maşın və avadanlıqlar, hüquqi öhdəliklər və məhkəmə iddiaları daxil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58"/>
        </w:numPr>
        <w:tabs>
          <w:tab w:val="left" w:pos="1531"/>
        </w:tabs>
        <w:kinsoku w:val="0"/>
        <w:overflowPunct w:val="0"/>
        <w:spacing w:line="250" w:lineRule="auto"/>
        <w:ind w:right="1209"/>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4240" behindDoc="0" locked="0" layoutInCell="0" allowOverlap="1">
                <wp:simplePos x="0" y="0"/>
                <wp:positionH relativeFrom="page">
                  <wp:posOffset>151130</wp:posOffset>
                </wp:positionH>
                <wp:positionV relativeFrom="paragraph">
                  <wp:posOffset>467995</wp:posOffset>
                </wp:positionV>
                <wp:extent cx="152400" cy="3830320"/>
                <wp:effectExtent l="0" t="0" r="0" b="0"/>
                <wp:wrapNone/>
                <wp:docPr id="13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83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4" type="#_x0000_t202" style="position:absolute;left:0;text-align:left;margin-left:11.9pt;margin-top:36.85pt;width:12pt;height:301.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200 Müəssisələr və Müəssisənin İştirak Payları</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Qeyri-maddi </w: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pacing w:val="1"/>
          <w:sz w:val="24"/>
          <w:szCs w:val="24"/>
          <w:lang w:val="az-Latn-AZ"/>
        </w:rPr>
        <w:t xml:space="preserve">və passivlər ayrı-ayrılıqda nəzərə alındığı halda,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pacing w:val="1"/>
          <w:sz w:val="24"/>
          <w:szCs w:val="24"/>
          <w:lang w:val="az-Latn-AZ"/>
        </w:rPr>
        <w:t xml:space="preserve">qeyri-əməliyyat </w:t>
      </w:r>
      <w:r w:rsidR="003C64E0" w:rsidRPr="009C2EF2">
        <w:rPr>
          <w:rFonts w:ascii="Times New Roman" w:hAnsi="Times New Roman"/>
          <w:i/>
          <w:color w:val="231F20"/>
          <w:sz w:val="24"/>
          <w:szCs w:val="24"/>
          <w:lang w:val="az-Latn-AZ"/>
        </w:rPr>
        <w:t xml:space="preserve">aktivləri </w:t>
      </w:r>
      <w:r w:rsidR="003C64E0" w:rsidRPr="009C2EF2">
        <w:rPr>
          <w:rFonts w:ascii="Times New Roman" w:hAnsi="Times New Roman"/>
          <w:color w:val="231F20"/>
          <w:spacing w:val="1"/>
          <w:sz w:val="24"/>
          <w:szCs w:val="24"/>
          <w:lang w:val="az-Latn-AZ"/>
        </w:rPr>
        <w:t xml:space="preserve">ilə bağlı gəlir və ya xərclərin pul axını qiymətləndirmələrində və qiymətləndirmədə istifadə olunan proqnozlarda istifadə olunmadığından əmin olmalıdır. Məsələn, müəssisənin büdcədənkənar pensiya fondu ilə bağlı </w:t>
      </w:r>
      <w:r w:rsidR="003C64E0" w:rsidRPr="009C2EF2">
        <w:rPr>
          <w:rFonts w:ascii="Times New Roman" w:hAnsi="Times New Roman"/>
          <w:i/>
          <w:color w:val="231F20"/>
          <w:sz w:val="24"/>
          <w:szCs w:val="24"/>
          <w:lang w:val="az-Latn-AZ"/>
        </w:rPr>
        <w:t xml:space="preserve">əhəmiyyətli </w:t>
      </w:r>
      <w:r w:rsidR="003C64E0" w:rsidRPr="009C2EF2">
        <w:rPr>
          <w:rFonts w:ascii="Times New Roman" w:hAnsi="Times New Roman"/>
          <w:color w:val="231F20"/>
          <w:spacing w:val="1"/>
          <w:sz w:val="24"/>
          <w:szCs w:val="24"/>
          <w:lang w:val="az-Latn-AZ"/>
        </w:rPr>
        <w:t xml:space="preserve">passivi olarsa və həmin passiv ayrı-ayrılıqda qiymətləndirilərsə, müəssisənin qiymətləndirilməsində istifadə olunan pul axınından həmin öhdəliklərlə əlaqəli "tamamlayıcı" ödənişlər </w:t>
      </w:r>
      <w:r w:rsidR="003C64E0" w:rsidRPr="009C2EF2">
        <w:rPr>
          <w:rFonts w:ascii="Times New Roman" w:hAnsi="Times New Roman"/>
          <w:i/>
          <w:color w:val="231F20"/>
          <w:spacing w:val="1"/>
          <w:sz w:val="24"/>
          <w:szCs w:val="24"/>
          <w:lang w:val="az-Latn-AZ"/>
        </w:rPr>
        <w:t>çıxarılmalıdır</w:t>
      </w:r>
      <w:r w:rsidR="003C64E0"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8"/>
        </w:numPr>
        <w:tabs>
          <w:tab w:val="left" w:pos="1531"/>
        </w:tabs>
        <w:kinsoku w:val="0"/>
        <w:overflowPunct w:val="0"/>
        <w:spacing w:line="250" w:lineRule="auto"/>
        <w:ind w:right="136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Əgər qiymətləndirmə açıq səhmdar cəmiyyətlərindən əldə olunmuş məlumata əsaslanırsa dövriyyədə olan səhmlərin qiymətinə qeyri-əməliyyat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dəyəri daxil edilmiş olacaq. Beləliklə,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qeyri-əməliyyat </w:t>
      </w:r>
      <w:r w:rsidRPr="009C2EF2">
        <w:rPr>
          <w:rFonts w:ascii="Times New Roman" w:hAnsi="Times New Roman"/>
          <w:i/>
          <w:color w:val="231F20"/>
          <w:spacing w:val="-1"/>
          <w:sz w:val="24"/>
          <w:szCs w:val="24"/>
          <w:lang w:val="az-Latn-AZ"/>
        </w:rPr>
        <w:t xml:space="preserve">aktivləri </w:t>
      </w:r>
      <w:r w:rsidRPr="009C2EF2">
        <w:rPr>
          <w:rFonts w:ascii="Times New Roman" w:hAnsi="Times New Roman"/>
          <w:color w:val="231F20"/>
          <w:sz w:val="24"/>
          <w:szCs w:val="24"/>
          <w:lang w:val="az-Latn-AZ"/>
        </w:rPr>
        <w:t>ilə bağlı dəyəri, gəlir və xərcləri çıxmaq üçün açıq səhmdar cəmiyyətlərindən əldə olunmuş məlumatlarda müəyyən dəyişikliklər etməlidirlər.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Kapital Strukturu ilə bağlı Mülahizələr</w:t>
      </w:r>
    </w:p>
    <w:p w:rsidR="00D02DD9" w:rsidRPr="009C2EF2" w:rsidRDefault="003C64E0">
      <w:pPr>
        <w:pStyle w:val="a3"/>
        <w:numPr>
          <w:ilvl w:val="1"/>
          <w:numId w:val="57"/>
        </w:numPr>
        <w:tabs>
          <w:tab w:val="left" w:pos="1531"/>
        </w:tabs>
        <w:kinsoku w:val="0"/>
        <w:overflowPunct w:val="0"/>
        <w:spacing w:before="122" w:line="250" w:lineRule="auto"/>
        <w:ind w:right="125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Müəssisələr borc və kapitalın kombinasiyası şəklində maliyyələşdirilir. Lakin, bir çox hallarda, </w:t>
      </w:r>
      <w:r w:rsidRPr="009C2EF2">
        <w:rPr>
          <w:rFonts w:ascii="Times New Roman" w:hAnsi="Times New Roman"/>
          <w:i/>
          <w:color w:val="231F20"/>
          <w:sz w:val="24"/>
          <w:szCs w:val="24"/>
          <w:lang w:val="az-Latn-AZ"/>
        </w:rPr>
        <w:t xml:space="preserve">qiymətləndiricilərdən müəssisə üzrə </w:t>
      </w:r>
      <w:r w:rsidRPr="009C2EF2">
        <w:rPr>
          <w:rFonts w:ascii="Times New Roman" w:hAnsi="Times New Roman"/>
          <w:color w:val="231F20"/>
          <w:sz w:val="24"/>
          <w:szCs w:val="24"/>
          <w:lang w:val="az-Latn-AZ"/>
        </w:rPr>
        <w:t xml:space="preserve">yalnız kapitalın və ya kapitalın müəyyən sinfinin qiymətləndirilməsi tələb oluna </w:t>
      </w:r>
      <w:r w:rsidRPr="009C2EF2">
        <w:rPr>
          <w:rFonts w:ascii="Times New Roman" w:hAnsi="Times New Roman"/>
          <w:color w:val="231F20"/>
          <w:sz w:val="24"/>
          <w:szCs w:val="24"/>
          <w:lang w:val="az-Latn-AZ"/>
        </w:rPr>
        <w:lastRenderedPageBreak/>
        <w:t>bilər.  Qiymətləndirmədə kapital və ya kapitalın müəyyən sinfi səhvən birbaşa qiymətləndirildiyi halda, adətən, müəssisə dəyəri müəyyənləşdirilir, daha sonra isə həmin dəyər borc və kapitalın növü arasında bölüşdürülür.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Borc dəyəri balans dəyərinə bərabər olduqda, dəyər bölüşdürməsi sadə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Məsələn, kapital dəyərini hesablamaq üçün müəssisə dəyərindən borcun balans dəyərini çıxmaq </w:t>
      </w:r>
      <w:r w:rsidRPr="009C2EF2">
        <w:rPr>
          <w:rFonts w:ascii="Times New Roman" w:hAnsi="Times New Roman"/>
          <w:i/>
          <w:color w:val="231F20"/>
          <w:spacing w:val="-1"/>
          <w:sz w:val="24"/>
          <w:szCs w:val="24"/>
          <w:lang w:val="az-Latn-AZ"/>
        </w:rPr>
        <w:t>olar</w:t>
      </w:r>
      <w:r w:rsidRPr="009C2EF2">
        <w:rPr>
          <w:rFonts w:ascii="Times New Roman" w:hAnsi="Times New Roman"/>
          <w:color w:val="231F20"/>
          <w:spacing w:val="1"/>
          <w:sz w:val="24"/>
          <w:szCs w:val="24"/>
          <w:lang w:val="az-Latn-AZ"/>
        </w:rPr>
        <w:t xml:space="preserve">(bəzən dəyər bölüşdürməsinin "şəlalə" metodu kimi də istinad edilir). Lakin,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borc dəyəri ilə balans dəyərini həmişə bərabər düşünməməlidirlər.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7"/>
        </w:numPr>
        <w:tabs>
          <w:tab w:val="left" w:pos="1531"/>
        </w:tabs>
        <w:kinsoku w:val="0"/>
        <w:overflowPunct w:val="0"/>
        <w:spacing w:line="250" w:lineRule="auto"/>
        <w:ind w:right="158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Borc dəyəri balans dəyərindən </w:t>
      </w:r>
      <w:r w:rsidRPr="009C2EF2">
        <w:rPr>
          <w:rFonts w:ascii="Times New Roman" w:hAnsi="Times New Roman"/>
          <w:i/>
          <w:color w:val="231F20"/>
          <w:spacing w:val="-1"/>
          <w:sz w:val="24"/>
          <w:szCs w:val="24"/>
          <w:lang w:val="az-Latn-AZ"/>
        </w:rPr>
        <w:t xml:space="preserve">fərqlənərsə </w:t>
      </w:r>
      <w:r w:rsidRPr="009C2EF2">
        <w:rPr>
          <w:rFonts w:ascii="Times New Roman" w:hAnsi="Times New Roman"/>
          <w:color w:val="231F20"/>
          <w:sz w:val="24"/>
          <w:szCs w:val="24"/>
          <w:lang w:val="az-Latn-AZ"/>
        </w:rPr>
        <w:t xml:space="preserve">qiymətləndirilər ya birbaşa borcu qiymətləndirməli, ya da opsiya qiymətləndirilməsi modelindən və ya </w:t>
      </w:r>
      <w:r w:rsidRPr="009C2EF2">
        <w:rPr>
          <w:rFonts w:ascii="Times New Roman" w:hAnsi="Times New Roman"/>
          <w:i/>
          <w:color w:val="231F20"/>
          <w:sz w:val="24"/>
          <w:szCs w:val="24"/>
          <w:lang w:val="az-Latn-AZ"/>
        </w:rPr>
        <w:t xml:space="preserve">ehtimal </w:t>
      </w:r>
      <w:r w:rsidRPr="009C2EF2">
        <w:rPr>
          <w:rFonts w:ascii="Times New Roman" w:hAnsi="Times New Roman"/>
          <w:color w:val="231F20"/>
          <w:sz w:val="24"/>
          <w:szCs w:val="24"/>
          <w:lang w:val="az-Latn-AZ"/>
        </w:rPr>
        <w:t>çəkili gözlənilən gəlir metodu kimi</w:t>
      </w:r>
    </w:p>
    <w:p w:rsidR="00D02DD9" w:rsidRPr="009C2EF2" w:rsidRDefault="003C64E0">
      <w:pPr>
        <w:pStyle w:val="a3"/>
        <w:kinsoku w:val="0"/>
        <w:overflowPunct w:val="0"/>
        <w:spacing w:line="250" w:lineRule="auto"/>
        <w:ind w:right="149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dəyəri borc və səhm qiymətli kağızları arasında bölüşdürən metoddan istifadə </w:t>
      </w:r>
      <w:r w:rsidRPr="009C2EF2">
        <w:rPr>
          <w:rFonts w:ascii="Times New Roman" w:hAnsi="Times New Roman"/>
          <w:i/>
          <w:color w:val="231F20"/>
          <w:sz w:val="24"/>
          <w:szCs w:val="24"/>
          <w:lang w:val="az-Latn-AZ"/>
        </w:rPr>
        <w:t>etməlidir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56</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6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4048" behindDoc="1" locked="0" layoutInCell="0" allowOverlap="1">
                <wp:simplePos x="0" y="0"/>
                <wp:positionH relativeFrom="page">
                  <wp:posOffset>5183505</wp:posOffset>
                </wp:positionH>
                <wp:positionV relativeFrom="page">
                  <wp:posOffset>0</wp:posOffset>
                </wp:positionV>
                <wp:extent cx="431800" cy="8423910"/>
                <wp:effectExtent l="0" t="0" r="0" b="0"/>
                <wp:wrapNone/>
                <wp:docPr id="138"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37631C" id="Freeform 131" o:spid="_x0000_s1026" style="position:absolute;margin-left:408.15pt;margin-top:0;width:34pt;height:663.3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bookmarkStart w:id="10" w:name="bookmark9"/>
      <w:bookmarkEnd w:id="10"/>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10"/>
        <w:ind w:left="0"/>
        <w:rPr>
          <w:rFonts w:ascii="Times New Roman" w:hAnsi="Times New Roman"/>
          <w:i/>
          <w:sz w:val="24"/>
          <w:szCs w:val="24"/>
          <w:lang w:val="az-Latn-AZ"/>
        </w:rPr>
      </w:pPr>
    </w:p>
    <w:p w:rsidR="00D02DD9" w:rsidRPr="009C2EF2" w:rsidRDefault="003C64E0">
      <w:pPr>
        <w:pStyle w:val="a3"/>
        <w:kinsoku w:val="0"/>
        <w:overflowPunct w:val="0"/>
        <w:spacing w:before="69"/>
        <w:ind w:left="113"/>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BQS 210 Qeyri-maddi aktivlər</w:t>
      </w:r>
    </w:p>
    <w:p w:rsidR="00D02DD9" w:rsidRPr="009C2EF2" w:rsidRDefault="00D02DD9">
      <w:pPr>
        <w:pStyle w:val="a3"/>
        <w:kinsoku w:val="0"/>
        <w:overflowPunct w:val="0"/>
        <w:spacing w:before="4"/>
        <w:ind w:left="0"/>
        <w:rPr>
          <w:rFonts w:ascii="Times New Roman" w:hAnsi="Times New Roman"/>
          <w:b/>
          <w:sz w:val="24"/>
          <w:szCs w:val="24"/>
          <w:lang w:val="az-Latn-AZ"/>
        </w:rPr>
      </w:pPr>
    </w:p>
    <w:tbl>
      <w:tblPr>
        <w:tblW w:w="0" w:type="auto"/>
        <w:tblInd w:w="114" w:type="dxa"/>
        <w:tblLayout w:type="fixed"/>
        <w:tblCellMar>
          <w:left w:w="0" w:type="dxa"/>
          <w:right w:w="0" w:type="dxa"/>
        </w:tblCellMar>
        <w:tblLook w:val="04A0" w:firstRow="1" w:lastRow="0" w:firstColumn="1" w:lastColumn="0" w:noHBand="0" w:noVBand="1"/>
      </w:tblPr>
      <w:tblGrid>
        <w:gridCol w:w="4999"/>
        <w:gridCol w:w="1747"/>
      </w:tblGrid>
      <w:tr w:rsidR="00D02DD9" w:rsidRPr="009C2EF2">
        <w:trPr>
          <w:trHeight w:hRule="exact" w:val="829"/>
        </w:trPr>
        <w:tc>
          <w:tcPr>
            <w:tcW w:w="4999"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747"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Qeyri-maddi aktivlər üzrə xüsusi mülahizələr</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Qeyri maddi aktivlər ilə bağlı diskont faiz dərəcələri/ gəlir üzrə faiz dərəcələri</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w w:val="95"/>
                <w:sz w:val="24"/>
                <w:szCs w:val="24"/>
                <w:lang w:val="az-Latn-AZ"/>
              </w:rPr>
              <w:t>90</w:t>
            </w:r>
          </w:p>
        </w:tc>
      </w:tr>
      <w:tr w:rsidR="00D02DD9" w:rsidRPr="009C2EF2">
        <w:trPr>
          <w:trHeight w:hRule="exact" w:val="273"/>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Qeyri-maddi aktivlərin faydalı istifadə müddətləri</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1163"/>
              <w:rPr>
                <w:sz w:val="24"/>
                <w:szCs w:val="24"/>
                <w:lang w:val="az-Latn-AZ"/>
              </w:rPr>
            </w:pPr>
            <w:r w:rsidRPr="009C2EF2">
              <w:rPr>
                <w:color w:val="231F20"/>
                <w:sz w:val="24"/>
                <w:szCs w:val="24"/>
                <w:lang w:val="az-Latn-AZ"/>
              </w:rPr>
              <w:t>100</w:t>
            </w:r>
          </w:p>
        </w:tc>
      </w:tr>
      <w:tr w:rsidR="00D02DD9" w:rsidRPr="009C2EF2">
        <w:trPr>
          <w:trHeight w:hRule="exact" w:val="459"/>
        </w:trPr>
        <w:tc>
          <w:tcPr>
            <w:tcW w:w="49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5"/>
                <w:sz w:val="24"/>
                <w:szCs w:val="24"/>
                <w:lang w:val="az-Latn-AZ"/>
              </w:rPr>
              <w:t>Vergi Amortizasiyası Faydası (TAB)</w:t>
            </w:r>
          </w:p>
        </w:tc>
        <w:tc>
          <w:tcPr>
            <w:tcW w:w="17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7"/>
                <w:sz w:val="24"/>
                <w:szCs w:val="24"/>
                <w:lang w:val="az-Latn-AZ"/>
              </w:rPr>
              <w:t>110</w:t>
            </w:r>
          </w:p>
        </w:tc>
      </w:tr>
    </w:tbl>
    <w:p w:rsidR="00D02DD9" w:rsidRPr="009C2EF2" w:rsidRDefault="00D02DD9">
      <w:pPr>
        <w:pStyle w:val="a3"/>
        <w:kinsoku w:val="0"/>
        <w:overflowPunct w:val="0"/>
        <w:spacing w:before="8"/>
        <w:ind w:left="0"/>
        <w:rPr>
          <w:rFonts w:ascii="Times New Roman" w:hAnsi="Times New Roman"/>
          <w:b/>
          <w:sz w:val="24"/>
          <w:szCs w:val="24"/>
          <w:lang w:val="az-Latn-AZ"/>
        </w:rPr>
      </w:pPr>
    </w:p>
    <w:p w:rsidR="00D02DD9" w:rsidRPr="009C2EF2" w:rsidRDefault="0075026C">
      <w:pPr>
        <w:pStyle w:val="Heading41"/>
        <w:numPr>
          <w:ilvl w:val="0"/>
          <w:numId w:val="56"/>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5264" behindDoc="0" locked="0" layoutInCell="0" allowOverlap="1">
                <wp:simplePos x="0" y="0"/>
                <wp:positionH relativeFrom="page">
                  <wp:posOffset>5276215</wp:posOffset>
                </wp:positionH>
                <wp:positionV relativeFrom="paragraph">
                  <wp:posOffset>-440690</wp:posOffset>
                </wp:positionV>
                <wp:extent cx="152400" cy="2733675"/>
                <wp:effectExtent l="0" t="0" r="0" b="0"/>
                <wp:wrapNone/>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5" type="#_x0000_t202" style="position:absolute;left:0;text-align:left;margin-left:415.45pt;margin-top:-34.7pt;width:12pt;height:215.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qysQIAALU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pacing w:val="2"/>
          <w:sz w:val="24"/>
          <w:szCs w:val="24"/>
          <w:lang w:val="az-Latn-AZ"/>
        </w:rPr>
        <w:t>İcmal</w:t>
      </w:r>
    </w:p>
    <w:p w:rsidR="00D02DD9" w:rsidRPr="009C2EF2" w:rsidRDefault="003C64E0">
      <w:pPr>
        <w:pStyle w:val="a3"/>
        <w:numPr>
          <w:ilvl w:val="1"/>
          <w:numId w:val="56"/>
        </w:numPr>
        <w:tabs>
          <w:tab w:val="left" w:pos="681"/>
        </w:tabs>
        <w:kinsoku w:val="0"/>
        <w:overflowPunct w:val="0"/>
        <w:spacing w:before="122"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Əsas Standartlar bölməsində verilmiş prinsiplər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qiymətləndirilməsi zamanı, eləcə də,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elementləri ilə bağlı aparılan qiymətləndirmələr zamanı nəzərə alınmalıdır.</w:t>
      </w:r>
    </w:p>
    <w:p w:rsidR="00D02DD9" w:rsidRPr="009C2EF2" w:rsidRDefault="003C64E0">
      <w:pPr>
        <w:pStyle w:val="a3"/>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standartda 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qiymətləndirilməsi ilə bağlı əlavə tələblər də müəyyən edilib.</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55"/>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iqtisadi göstəriciləri ilə özünü göstərən qeyri-monetar </w:t>
      </w:r>
      <w:r w:rsidRPr="009C2EF2">
        <w:rPr>
          <w:rFonts w:ascii="Times New Roman" w:hAnsi="Times New Roman"/>
          <w:i/>
          <w:color w:val="231F20"/>
          <w:sz w:val="24"/>
          <w:szCs w:val="24"/>
          <w:lang w:val="az-Latn-AZ"/>
        </w:rPr>
        <w:t>aktivdir</w:t>
      </w:r>
      <w:r w:rsidRPr="009C2EF2">
        <w:rPr>
          <w:rFonts w:ascii="Times New Roman" w:hAnsi="Times New Roman"/>
          <w:color w:val="231F20"/>
          <w:spacing w:val="1"/>
          <w:sz w:val="24"/>
          <w:szCs w:val="24"/>
          <w:lang w:val="az-Latn-AZ"/>
        </w:rPr>
        <w:t>. Qeyri-maddi aktivlər fiziki formaya malik olmayan, lakin sahibinə hüquq və iqtisadi fayda verən aktivlərdir.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5"/>
        </w:numPr>
        <w:tabs>
          <w:tab w:val="left" w:pos="681"/>
        </w:tabs>
        <w:kinsoku w:val="0"/>
        <w:overflowPunct w:val="0"/>
        <w:spacing w:line="250" w:lineRule="auto"/>
        <w:ind w:left="680" w:right="14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Xüsusi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mülkiyyət formasına, funksiyasına, bazardakı mövqeyinə, təsvirinə və s. görə müəy</w:t>
      </w:r>
      <w:r w:rsidR="00FD4253" w:rsidRPr="009C2EF2">
        <w:rPr>
          <w:rFonts w:ascii="Times New Roman" w:hAnsi="Times New Roman"/>
          <w:color w:val="231F20"/>
          <w:spacing w:val="1"/>
          <w:sz w:val="24"/>
          <w:szCs w:val="24"/>
          <w:lang w:val="az-Latn-AZ"/>
        </w:rPr>
        <w:t>y</w:t>
      </w:r>
      <w:r w:rsidRPr="009C2EF2">
        <w:rPr>
          <w:rFonts w:ascii="Times New Roman" w:hAnsi="Times New Roman"/>
          <w:color w:val="231F20"/>
          <w:spacing w:val="1"/>
          <w:sz w:val="24"/>
          <w:szCs w:val="24"/>
          <w:lang w:val="az-Latn-AZ"/>
        </w:rPr>
        <w:t xml:space="preserve">ən edilən aktivlərdir. Bu xüsusiyyətlər qeyri-maddi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bir-birindən fərqləndirir.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5"/>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Qeyri-maddi </w:t>
      </w:r>
      <w:r w:rsidRPr="009C2EF2">
        <w:rPr>
          <w:rFonts w:ascii="Times New Roman" w:hAnsi="Times New Roman"/>
          <w:i/>
          <w:color w:val="231F20"/>
          <w:spacing w:val="-1"/>
          <w:sz w:val="24"/>
          <w:szCs w:val="24"/>
          <w:lang w:val="az-Latn-AZ"/>
        </w:rPr>
        <w:t>aktivlərin</w:t>
      </w:r>
      <w:r w:rsidR="00FD4253"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bir çox növləri var, lakin</w:t>
      </w:r>
      <w:r w:rsidR="00FD4253"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onlar, əsasən, aşağıdakı kateqoriyalar (və ya qudvil) üzrə xarakterizə olunurlar: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Marketinq yönümlü: Marketinq yönümlü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marketinqdə və ya məhsulun və ya xidmətin tanıdılması ilə əlaqədar istifadə olunurlar. Məsələn, ticarət nişanı, ticarət adı, tanıdıcı əmtəə nişanı və internet domen adları.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125"/>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Müştəri yönümlü: Müştəri yönümlü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pacing w:val="-1"/>
          <w:sz w:val="24"/>
          <w:szCs w:val="24"/>
          <w:lang w:val="az-Latn-AZ"/>
        </w:rPr>
        <w:t xml:space="preserve"> müştəri siyahısı, yerinə yetirilməmiş sifariş portfeli, müştəri müqavilələri, müqavilə əsasında və ya müqaviləsiz müəyyən edilmiş müştəri əlaqələri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195"/>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Incəsənət yönümlü: Incəsənət yönümlü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pacing w:val="1"/>
          <w:sz w:val="24"/>
          <w:szCs w:val="24"/>
          <w:lang w:val="az-Latn-AZ"/>
        </w:rPr>
        <w:t>əsər, kitab, film və musiqi kimi incəsənət nümunələrindən faydalanmaq hüququ və müəllif hüquqlarının qorunması daxildir.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4"/>
        <w:ind w:left="0"/>
        <w:rPr>
          <w:rFonts w:ascii="Times New Roman" w:hAnsi="Times New Roman"/>
          <w:sz w:val="24"/>
          <w:szCs w:val="24"/>
          <w:lang w:val="az-Latn-AZ"/>
        </w:rPr>
      </w:pPr>
    </w:p>
    <w:p w:rsidR="00D02DD9" w:rsidRPr="009C2EF2" w:rsidRDefault="003C64E0">
      <w:pPr>
        <w:pStyle w:val="a3"/>
        <w:kinsoku w:val="0"/>
        <w:overflowPunct w:val="0"/>
        <w:spacing w:before="80"/>
        <w:ind w:left="2876" w:right="3725"/>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57</w:t>
      </w:r>
    </w:p>
    <w:p w:rsidR="00D02DD9" w:rsidRPr="009C2EF2" w:rsidRDefault="00D02DD9">
      <w:pPr>
        <w:pStyle w:val="a3"/>
        <w:kinsoku w:val="0"/>
        <w:overflowPunct w:val="0"/>
        <w:spacing w:before="80"/>
        <w:ind w:left="2876" w:right="3725"/>
        <w:jc w:val="center"/>
        <w:rPr>
          <w:rFonts w:ascii="Times New Roman" w:hAnsi="Times New Roman"/>
          <w:color w:val="000000"/>
          <w:sz w:val="24"/>
          <w:szCs w:val="24"/>
          <w:lang w:val="az-Latn-AZ"/>
        </w:rPr>
        <w:sectPr w:rsidR="00D02DD9" w:rsidRPr="009C2EF2">
          <w:footerReference w:type="default" r:id="rId6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5072" behindDoc="1" locked="0" layoutInCell="0" allowOverlap="1">
                <wp:simplePos x="0" y="0"/>
                <wp:positionH relativeFrom="page">
                  <wp:posOffset>0</wp:posOffset>
                </wp:positionH>
                <wp:positionV relativeFrom="page">
                  <wp:posOffset>0</wp:posOffset>
                </wp:positionV>
                <wp:extent cx="432435" cy="8424545"/>
                <wp:effectExtent l="0" t="0" r="0" b="0"/>
                <wp:wrapNone/>
                <wp:docPr id="13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2299C8" id="Freeform 133" o:spid="_x0000_s1026" style="position:absolute;margin-left:0;margin-top:0;width:34.05pt;height:663.3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HopM+BiAwAAhg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2"/>
          <w:numId w:val="55"/>
        </w:numPr>
        <w:tabs>
          <w:tab w:val="left" w:pos="1815"/>
        </w:tabs>
        <w:kinsoku w:val="0"/>
        <w:overflowPunct w:val="0"/>
        <w:spacing w:before="77"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Müqavilə yönümlü: Müqavilə yönümlü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müqavilə əsasında müəyyən edilmiş hüquqların dəyərini ifadə edir. Məsələn, lisenziya və royalti müqavilələri, xidmət və təchizat müqavilələri, icarə müqavilələri, icazələr, yayım hüququ, xidmət müqavilələri, məşğulluq müqavilələri, rəqabətin olmamasına dair müqavilə və təbii resurslardan istifadə hüquqları.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1815"/>
        </w:tabs>
        <w:kinsoku w:val="0"/>
        <w:overflowPunct w:val="0"/>
        <w:spacing w:line="250" w:lineRule="auto"/>
        <w:ind w:left="1814" w:right="161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Texnologiya yönümlü: Texnologiya yönümlü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pacing w:val="-1"/>
          <w:sz w:val="24"/>
          <w:szCs w:val="24"/>
          <w:lang w:val="az-Latn-AZ"/>
        </w:rPr>
        <w:t>patentli texnologiyadan, patentsiz texnologiyadan, verilənlər bazasından, sxemlərdən, dizaynlardan, proqram təminatlarından, proseslərdən və metodlardan istifadə etmək üçün müqavilə əsasında və ya müqaviləsiz müəyyən edilmiş hüquqlar.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55"/>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Eyni sinfə daxil olan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oxşar xüsusiyyətləri ilə yanaşı onları</w:t>
      </w:r>
      <w:r w:rsidR="00FD4253" w:rsidRPr="009C2EF2">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digər növ qeyri-maddi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color w:val="231F20"/>
          <w:spacing w:val="1"/>
          <w:sz w:val="24"/>
          <w:szCs w:val="24"/>
          <w:lang w:val="az-Latn-AZ"/>
        </w:rPr>
        <w:t xml:space="preserve">fərqləndirən başqa xüsusiyyətləri də var. Bundan başqa, brend kimi müəyyən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 xml:space="preserve">də var ki, onlar 20.3 bəndində verilmiş kateqoriyaların kombinasiyasını təqdim </w:t>
      </w:r>
      <w:r w:rsidRPr="009C2EF2">
        <w:rPr>
          <w:rFonts w:ascii="Times New Roman" w:hAnsi="Times New Roman"/>
          <w:i/>
          <w:color w:val="231F20"/>
          <w:spacing w:val="-1"/>
          <w:sz w:val="24"/>
          <w:szCs w:val="24"/>
          <w:lang w:val="az-Latn-AZ"/>
        </w:rPr>
        <w:t>edir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55"/>
        </w:numPr>
        <w:tabs>
          <w:tab w:val="left" w:pos="1531"/>
        </w:tabs>
        <w:kinsoku w:val="0"/>
        <w:overflowPunct w:val="0"/>
        <w:spacing w:line="250" w:lineRule="auto"/>
        <w:ind w:right="1501"/>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6288" behindDoc="0" locked="0" layoutInCell="0" allowOverlap="1">
                <wp:simplePos x="0" y="0"/>
                <wp:positionH relativeFrom="page">
                  <wp:posOffset>151130</wp:posOffset>
                </wp:positionH>
                <wp:positionV relativeFrom="paragraph">
                  <wp:posOffset>85090</wp:posOffset>
                </wp:positionV>
                <wp:extent cx="152400" cy="2733675"/>
                <wp:effectExtent l="0" t="0" r="0" b="0"/>
                <wp:wrapNone/>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6" type="#_x0000_t202" style="position:absolute;left:0;text-align:left;margin-left:11.9pt;margin-top:6.7pt;width:12pt;height:215.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mswIAALg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Xüsusilə də, qeyri-maddi </w:t>
      </w:r>
      <w:r w:rsidR="003C64E0" w:rsidRPr="009C2EF2">
        <w:rPr>
          <w:rFonts w:ascii="Times New Roman" w:hAnsi="Times New Roman"/>
          <w:i/>
          <w:color w:val="231F20"/>
          <w:spacing w:val="-1"/>
          <w:sz w:val="24"/>
          <w:szCs w:val="24"/>
          <w:lang w:val="az-Latn-AZ"/>
        </w:rPr>
        <w:t xml:space="preserve">aktivləri </w:t>
      </w:r>
      <w:r w:rsidR="003C64E0" w:rsidRPr="009C2EF2">
        <w:rPr>
          <w:rFonts w:ascii="Times New Roman" w:hAnsi="Times New Roman"/>
          <w:color w:val="231F20"/>
          <w:spacing w:val="1"/>
          <w:sz w:val="24"/>
          <w:szCs w:val="24"/>
          <w:lang w:val="az-Latn-AZ"/>
        </w:rPr>
        <w:t xml:space="preserve">qiymətləndirərkən </w:t>
      </w:r>
      <w:r w:rsidR="003C64E0" w:rsidRPr="009C2EF2">
        <w:rPr>
          <w:rFonts w:ascii="Times New Roman" w:hAnsi="Times New Roman"/>
          <w:i/>
          <w:color w:val="231F20"/>
          <w:sz w:val="24"/>
          <w:szCs w:val="24"/>
          <w:lang w:val="az-Latn-AZ"/>
        </w:rPr>
        <w:t xml:space="preserve">qiymətləndiricilər </w:t>
      </w:r>
      <w:r w:rsidR="003C64E0" w:rsidRPr="009C2EF2">
        <w:rPr>
          <w:rFonts w:ascii="Times New Roman" w:hAnsi="Times New Roman"/>
          <w:color w:val="231F20"/>
          <w:spacing w:val="1"/>
          <w:sz w:val="24"/>
          <w:szCs w:val="24"/>
          <w:lang w:val="az-Latn-AZ"/>
        </w:rPr>
        <w:t xml:space="preserve">konkret olaraq nəyin qiymətləndirilməli olduğunu və </w:t>
      </w:r>
      <w:r w:rsidR="003C64E0" w:rsidRPr="009C2EF2">
        <w:rPr>
          <w:rFonts w:ascii="Times New Roman" w:hAnsi="Times New Roman"/>
          <w:i/>
          <w:color w:val="231F20"/>
          <w:spacing w:val="1"/>
          <w:sz w:val="24"/>
          <w:szCs w:val="24"/>
          <w:lang w:val="az-Latn-AZ"/>
        </w:rPr>
        <w:t>qiymətləndirmə məqsədini</w:t>
      </w:r>
      <w:r w:rsidR="003C64E0" w:rsidRPr="009C2EF2">
        <w:rPr>
          <w:rFonts w:ascii="Times New Roman" w:hAnsi="Times New Roman"/>
          <w:color w:val="231F20"/>
          <w:spacing w:val="1"/>
          <w:sz w:val="24"/>
          <w:szCs w:val="24"/>
          <w:lang w:val="az-Latn-AZ"/>
        </w:rPr>
        <w:t xml:space="preserve"> bilməlidirlər. Məsələn, müştəri məlumatları (müştərilərin adları, ünvanları və s.) müştəri müqavilələrindən (qiymətləndirmə tarixində bağlanacaq müqavilələr) və müştəri əlaqələrindən (mövcud və gələcək müqavilələri də əhatə edən davam edən müştəri əlaqəsinin dəyəri) olduqca fərqli ola bilər. Hansı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pacing w:val="1"/>
          <w:sz w:val="24"/>
          <w:szCs w:val="24"/>
          <w:lang w:val="az-Latn-AZ"/>
        </w:rPr>
        <w:t xml:space="preserve">qiymətləndiriləcəyi və həmin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pacing w:val="1"/>
          <w:sz w:val="24"/>
          <w:szCs w:val="24"/>
          <w:lang w:val="az-Latn-AZ"/>
        </w:rPr>
        <w:t xml:space="preserve">necə müəyyənləşdiriləcəyi </w:t>
      </w:r>
      <w:r w:rsidR="003C64E0" w:rsidRPr="009C2EF2">
        <w:rPr>
          <w:rFonts w:ascii="Times New Roman" w:hAnsi="Times New Roman"/>
          <w:i/>
          <w:color w:val="231F20"/>
          <w:spacing w:val="1"/>
          <w:sz w:val="24"/>
          <w:szCs w:val="24"/>
          <w:lang w:val="az-Latn-AZ"/>
        </w:rPr>
        <w:t>qiymətləndirmə məqsədindən</w:t>
      </w:r>
      <w:r w:rsidR="003C64E0" w:rsidRPr="009C2EF2">
        <w:rPr>
          <w:rFonts w:ascii="Times New Roman" w:hAnsi="Times New Roman"/>
          <w:color w:val="231F20"/>
          <w:spacing w:val="1"/>
          <w:sz w:val="24"/>
          <w:szCs w:val="24"/>
          <w:lang w:val="az-Latn-AZ"/>
        </w:rPr>
        <w:t xml:space="preserve"> asılı olaraq fərqli ola </w:t>
      </w:r>
      <w:r w:rsidR="003C64E0" w:rsidRPr="009C2EF2">
        <w:rPr>
          <w:rFonts w:ascii="Times New Roman" w:hAnsi="Times New Roman"/>
          <w:i/>
          <w:color w:val="231F20"/>
          <w:spacing w:val="-1"/>
          <w:sz w:val="24"/>
          <w:szCs w:val="24"/>
          <w:lang w:val="az-Latn-AZ"/>
        </w:rPr>
        <w:t xml:space="preserve">bilər </w:t>
      </w:r>
      <w:r w:rsidR="003C64E0" w:rsidRPr="009C2EF2">
        <w:rPr>
          <w:rFonts w:ascii="Times New Roman" w:hAnsi="Times New Roman"/>
          <w:color w:val="231F20"/>
          <w:spacing w:val="1"/>
          <w:sz w:val="24"/>
          <w:szCs w:val="24"/>
          <w:lang w:val="az-Latn-AZ"/>
        </w:rPr>
        <w:t xml:space="preserve">və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pacing w:val="1"/>
          <w:sz w:val="24"/>
          <w:szCs w:val="24"/>
          <w:lang w:val="az-Latn-AZ"/>
        </w:rPr>
        <w:t xml:space="preserve">müəyyənləşdirilməsi ilə bağlı müxtəlifliklər dəyərdə </w:t>
      </w:r>
      <w:r w:rsidR="003C64E0" w:rsidRPr="009C2EF2">
        <w:rPr>
          <w:rFonts w:ascii="Times New Roman" w:hAnsi="Times New Roman"/>
          <w:i/>
          <w:color w:val="231F20"/>
          <w:sz w:val="24"/>
          <w:szCs w:val="24"/>
          <w:lang w:val="az-Latn-AZ"/>
        </w:rPr>
        <w:t xml:space="preserve">əhəmiyyətli </w:t>
      </w:r>
      <w:r w:rsidR="003C64E0" w:rsidRPr="009C2EF2">
        <w:rPr>
          <w:rFonts w:ascii="Times New Roman" w:hAnsi="Times New Roman"/>
          <w:color w:val="231F20"/>
          <w:spacing w:val="1"/>
          <w:sz w:val="24"/>
          <w:szCs w:val="24"/>
          <w:lang w:val="az-Latn-AZ"/>
        </w:rPr>
        <w:t>fərqlərə səbəb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5"/>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Ümumilikdə, qudvil müəssisədən, müəssisənin iştirak payından və ya digər növ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hələ bir hissəsi kimi tanınan bir qrup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istifadəsi nəticəsində yaranan gələcək iqtisadi faydadır. Qudvilin dəyəri müəssisə dəyərindən faktiki və potensial öhdəliklərə uyğun müəyyən dəyişikliklər edilmiş maddi aktivlərin, qeyri-maddi aktivlərin və monetar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 xml:space="preserve">dəyəri çıxıldıqdan sonra qalan qalıq məbləğ kimi müəyyən edilir. Qudvilin dəyəri şirkətin real və hipotetik alqı-satqısı ilə bağlı ödənilmiş qiymətin şirkətin digər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 xml:space="preserve">və passivlərinin dəyərindən çox olması kimi müəyyən edilir. </w:t>
      </w:r>
      <w:r w:rsidRPr="009C2EF2">
        <w:rPr>
          <w:rFonts w:ascii="Times New Roman" w:hAnsi="Times New Roman"/>
          <w:i/>
          <w:color w:val="231F20"/>
          <w:sz w:val="24"/>
          <w:szCs w:val="24"/>
          <w:lang w:val="az-Latn-AZ"/>
        </w:rPr>
        <w:t xml:space="preserve">Məqsədindən </w:t>
      </w:r>
      <w:r w:rsidRPr="009C2EF2">
        <w:rPr>
          <w:rFonts w:ascii="Times New Roman" w:hAnsi="Times New Roman"/>
          <w:color w:val="231F20"/>
          <w:spacing w:val="-1"/>
          <w:sz w:val="24"/>
          <w:szCs w:val="24"/>
          <w:lang w:val="az-Latn-AZ"/>
        </w:rPr>
        <w:t xml:space="preserve">asılı olaraq qudvillər ötürülə bilən (yəni üçüncü tərəfə ötürülə bilər) və ötürülə bilməyən/"şəxsi" olmaqla iki qrupa bölünə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5"/>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Qudvilin məbləği digər maddi və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tanınmasından asılı olduğuna görə onun dəyəri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 xml:space="preserve">üçün hesablanarkən fərqli ola bilər. Məsələn, MHBS və ya ABŞ GAAP (Ümumi Qəbul olunmuş Mühasibat Uçotu Prinsipləri) əsasında hesablanmış şirkətlərin birləşməsində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yalnız aşağıdakı hallarda tanınır: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ayrı olduqda, yəni, müəssisənin məqsədindən asılı olmayaraq, müqavilə əsasında və ya müqaviləsiz müəssisədən ayrılaraq satıla, ötürülə, lisenziyalaşdırıla, icarəyə verilə və ya dəyişdirilə bildikdə və ya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aktivlərin bu hüquqların ötürülə bilən olub-olmamasından və ya müəssisədən və ya digər hüquq və öhdəliklərdən ayrıla bilən olub-olmamasından asılı olmayaraq müqavilə üzrə müəyyən edilmiş hüquqdan və ya digər qanuni hüquqlardan yarandığı təqdirdə.</w:t>
      </w: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58</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6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6096" behindDoc="1" locked="0" layoutInCell="0" allowOverlap="1">
                <wp:simplePos x="0" y="0"/>
                <wp:positionH relativeFrom="page">
                  <wp:posOffset>5183505</wp:posOffset>
                </wp:positionH>
                <wp:positionV relativeFrom="page">
                  <wp:posOffset>0</wp:posOffset>
                </wp:positionV>
                <wp:extent cx="431800" cy="8423910"/>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E4B414" id="Freeform 135" o:spid="_x0000_s1026" style="position:absolute;margin-left:408.15pt;margin-top:0;width:34pt;height:663.3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OQBZ+X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55"/>
        </w:numPr>
        <w:tabs>
          <w:tab w:val="left" w:pos="681"/>
        </w:tabs>
        <w:kinsoku w:val="0"/>
        <w:overflowPunct w:val="0"/>
        <w:spacing w:before="77" w:line="250" w:lineRule="auto"/>
        <w:ind w:left="680" w:right="1393"/>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 məqsədindən</w:t>
      </w:r>
      <w:r w:rsidRPr="009C2EF2">
        <w:rPr>
          <w:rFonts w:ascii="Times New Roman" w:hAnsi="Times New Roman"/>
          <w:color w:val="231F20"/>
          <w:sz w:val="24"/>
          <w:szCs w:val="24"/>
          <w:lang w:val="az-Latn-AZ"/>
        </w:rPr>
        <w:t xml:space="preserve"> asılı olaraq qudvilin aspektləri dəyişir və qudvilə, əsasən, aşağıdakı elementlər daxildir: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iki və daha artıq müəssisənin birləşməsindən yaranan şirkətə xas sinerjilər (məsələn, əməliyyat xərclərinin azalması, istehsalın artması hesabına qənaət və ya məhsul çeşidlərinin dinamikası),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müəssisənin yeni və müxtəlif bazarlara çıxış imkanı,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101"/>
        <w:rPr>
          <w:rFonts w:ascii="Times New Roman" w:hAnsi="Times New Roman"/>
          <w:color w:val="000000"/>
          <w:sz w:val="24"/>
          <w:szCs w:val="24"/>
          <w:lang w:val="az-Latn-AZ"/>
        </w:rPr>
      </w:pPr>
      <w:r w:rsidRPr="009C2EF2">
        <w:rPr>
          <w:rFonts w:ascii="Times New Roman" w:hAnsi="Times New Roman"/>
          <w:color w:val="231F20"/>
          <w:sz w:val="24"/>
          <w:szCs w:val="24"/>
          <w:lang w:val="az-Latn-AZ"/>
        </w:rPr>
        <w:t>yığılmış işçi qüvvəsinin faydası (lakin həmin işçi qüvvəsinin üzvlərinin yaratmış olduğu əqli mülkiyyəti çıxmaqla),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yeni müştəri və gələcək texnologiyalar kimi gələcək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color w:val="231F20"/>
          <w:sz w:val="24"/>
          <w:szCs w:val="24"/>
          <w:lang w:val="az-Latn-AZ"/>
        </w:rPr>
        <w:t>əldə olunacaq fayda və</w:t>
      </w:r>
    </w:p>
    <w:p w:rsidR="00D02DD9" w:rsidRPr="009C2EF2" w:rsidRDefault="003C64E0">
      <w:pPr>
        <w:pStyle w:val="a3"/>
        <w:numPr>
          <w:ilvl w:val="2"/>
          <w:numId w:val="5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ehtiyatların toplanması və fə</w:t>
      </w:r>
      <w:r w:rsidR="00FD4253" w:rsidRPr="009C2EF2">
        <w:rPr>
          <w:rFonts w:ascii="Times New Roman" w:hAnsi="Times New Roman"/>
          <w:color w:val="231F20"/>
          <w:sz w:val="24"/>
          <w:szCs w:val="24"/>
          <w:lang w:val="az-Latn-AZ"/>
        </w:rPr>
        <w:t>a</w:t>
      </w:r>
      <w:r w:rsidRPr="009C2EF2">
        <w:rPr>
          <w:rFonts w:ascii="Times New Roman" w:hAnsi="Times New Roman"/>
          <w:color w:val="231F20"/>
          <w:sz w:val="24"/>
          <w:szCs w:val="24"/>
          <w:lang w:val="az-Latn-AZ"/>
        </w:rPr>
        <w:t>liyyətdə olan müəssisənin dəyəri.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rsidP="001F22AE">
      <w:pPr>
        <w:pStyle w:val="a3"/>
        <w:numPr>
          <w:ilvl w:val="1"/>
          <w:numId w:val="55"/>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597312" behindDoc="0" locked="0" layoutInCell="0" allowOverlap="1">
                <wp:simplePos x="0" y="0"/>
                <wp:positionH relativeFrom="page">
                  <wp:posOffset>5276215</wp:posOffset>
                </wp:positionH>
                <wp:positionV relativeFrom="paragraph">
                  <wp:posOffset>172720</wp:posOffset>
                </wp:positionV>
                <wp:extent cx="152400" cy="2733675"/>
                <wp:effectExtent l="0" t="0" r="0" b="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7" type="#_x0000_t202" style="position:absolute;left:0;text-align:left;margin-left:415.45pt;margin-top:13.6pt;width:12pt;height:215.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NysQ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pacing w:val="2"/>
          <w:sz w:val="24"/>
          <w:szCs w:val="24"/>
          <w:lang w:val="az-Latn-AZ"/>
        </w:rPr>
        <w:t xml:space="preserve">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pacing w:val="2"/>
          <w:sz w:val="24"/>
          <w:szCs w:val="24"/>
          <w:lang w:val="az-Latn-AZ"/>
        </w:rPr>
        <w:t xml:space="preserve">dəyəri təhlilin </w:t>
      </w:r>
      <w:r w:rsidR="003C64E0" w:rsidRPr="009C2EF2">
        <w:rPr>
          <w:rFonts w:ascii="Times New Roman" w:hAnsi="Times New Roman"/>
          <w:i/>
          <w:color w:val="231F20"/>
          <w:spacing w:val="1"/>
          <w:sz w:val="24"/>
          <w:szCs w:val="24"/>
          <w:lang w:val="az-Latn-AZ"/>
        </w:rPr>
        <w:t xml:space="preserve">məqsədi </w:t>
      </w:r>
      <w:r w:rsidR="003C64E0" w:rsidRPr="009C2EF2">
        <w:rPr>
          <w:rFonts w:ascii="Times New Roman" w:hAnsi="Times New Roman"/>
          <w:color w:val="231F20"/>
          <w:spacing w:val="2"/>
          <w:sz w:val="24"/>
          <w:szCs w:val="24"/>
          <w:lang w:val="az-Latn-AZ"/>
        </w:rPr>
        <w:t xml:space="preserve">və ya bir hissəsi olduğu təqdirdə </w:t>
      </w:r>
      <w:r w:rsidR="003C64E0" w:rsidRPr="009C2EF2">
        <w:rPr>
          <w:rFonts w:ascii="Times New Roman" w:hAnsi="Times New Roman"/>
          <w:i/>
          <w:color w:val="231F20"/>
          <w:spacing w:val="-1"/>
          <w:sz w:val="24"/>
          <w:szCs w:val="24"/>
          <w:lang w:val="az-Latn-AZ"/>
        </w:rPr>
        <w:t xml:space="preserve">qiymətləndiricilər </w:t>
      </w:r>
      <w:r w:rsidR="003C64E0" w:rsidRPr="009C2EF2">
        <w:rPr>
          <w:rFonts w:ascii="Times New Roman" w:hAnsi="Times New Roman"/>
          <w:color w:val="231F20"/>
          <w:spacing w:val="2"/>
          <w:sz w:val="24"/>
          <w:szCs w:val="24"/>
          <w:lang w:val="az-Latn-AZ"/>
        </w:rPr>
        <w:t xml:space="preserve">qeyri-maddi </w:t>
      </w:r>
      <w:r w:rsidR="003C64E0" w:rsidRPr="009C2EF2">
        <w:rPr>
          <w:rFonts w:ascii="Times New Roman" w:hAnsi="Times New Roman"/>
          <w:i/>
          <w:color w:val="231F20"/>
          <w:sz w:val="24"/>
          <w:szCs w:val="24"/>
          <w:lang w:val="az-Latn-AZ"/>
        </w:rPr>
        <w:t xml:space="preserve">aktivlərin qiymətləndirilməsini </w:t>
      </w:r>
      <w:r w:rsidR="003C64E0" w:rsidRPr="009C2EF2">
        <w:rPr>
          <w:rFonts w:ascii="Times New Roman" w:hAnsi="Times New Roman"/>
          <w:color w:val="231F20"/>
          <w:spacing w:val="2"/>
          <w:sz w:val="24"/>
          <w:szCs w:val="24"/>
          <w:lang w:val="az-Latn-AZ"/>
        </w:rPr>
        <w:t xml:space="preserve">birbaşa həyata keçirə bilərlər. Lakin, müəssisələri, iştirak payını, daşınmaz əmlakı, maşın və avadanlıqları qiymətləndirərkən </w:t>
      </w:r>
      <w:r w:rsidR="003C64E0" w:rsidRPr="009C2EF2">
        <w:rPr>
          <w:rFonts w:ascii="Times New Roman" w:hAnsi="Times New Roman"/>
          <w:i/>
          <w:color w:val="231F20"/>
          <w:sz w:val="24"/>
          <w:szCs w:val="24"/>
          <w:lang w:val="az-Latn-AZ"/>
        </w:rPr>
        <w:t>qiymətləndiricilər</w:t>
      </w:r>
      <w:r w:rsidR="00FD4253"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z w:val="24"/>
          <w:szCs w:val="24"/>
          <w:lang w:val="az-Latn-AZ"/>
        </w:rPr>
        <w:t xml:space="preserve">bu </w:t>
      </w:r>
      <w:r w:rsidR="003C64E0" w:rsidRPr="009C2EF2">
        <w:rPr>
          <w:rFonts w:ascii="Times New Roman" w:hAnsi="Times New Roman"/>
          <w:i/>
          <w:color w:val="231F20"/>
          <w:sz w:val="24"/>
          <w:szCs w:val="24"/>
          <w:lang w:val="az-Latn-AZ"/>
        </w:rPr>
        <w:t xml:space="preserve">aktivlərlə </w:t>
      </w:r>
      <w:r w:rsidR="003C64E0" w:rsidRPr="009C2EF2">
        <w:rPr>
          <w:rFonts w:ascii="Times New Roman" w:hAnsi="Times New Roman"/>
          <w:color w:val="231F20"/>
          <w:sz w:val="24"/>
          <w:szCs w:val="24"/>
          <w:lang w:val="az-Latn-AZ"/>
        </w:rPr>
        <w:t xml:space="preserve">bağlı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olub-olmamasını və bu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qiymətləndirilən aktivə birbaşa təsirinin olub-olmamasını nəzərə almalıdırlar. Məsələn, </w:t>
      </w:r>
      <w:r w:rsidR="00FD4253" w:rsidRPr="009C2EF2">
        <w:rPr>
          <w:rFonts w:ascii="Times New Roman" w:hAnsi="Times New Roman"/>
          <w:color w:val="231F20"/>
          <w:sz w:val="24"/>
          <w:szCs w:val="24"/>
          <w:lang w:val="az-Latn-AZ"/>
        </w:rPr>
        <w:t>h</w:t>
      </w:r>
      <w:r w:rsidR="003C64E0" w:rsidRPr="009C2EF2">
        <w:rPr>
          <w:rFonts w:ascii="Times New Roman" w:hAnsi="Times New Roman"/>
          <w:color w:val="231F20"/>
          <w:sz w:val="24"/>
          <w:szCs w:val="24"/>
          <w:lang w:val="az-Latn-AZ"/>
        </w:rPr>
        <w:t xml:space="preserve">oteli gəlir yanaşması əsasında qiymətləndirərkən </w:t>
      </w:r>
      <w:r w:rsidR="00FD4253" w:rsidRPr="009C2EF2">
        <w:rPr>
          <w:rFonts w:ascii="Times New Roman" w:hAnsi="Times New Roman"/>
          <w:color w:val="231F20"/>
          <w:sz w:val="24"/>
          <w:szCs w:val="24"/>
          <w:lang w:val="az-Latn-AZ"/>
        </w:rPr>
        <w:t>h</w:t>
      </w:r>
      <w:r w:rsidR="003C64E0" w:rsidRPr="009C2EF2">
        <w:rPr>
          <w:rFonts w:ascii="Times New Roman" w:hAnsi="Times New Roman"/>
          <w:color w:val="231F20"/>
          <w:sz w:val="24"/>
          <w:szCs w:val="24"/>
          <w:lang w:val="az-Latn-AZ"/>
        </w:rPr>
        <w:t xml:space="preserve">otelin brend dəyəri üzrə ayırmalar otelin mənfəətində artıq əks oluna </w:t>
      </w:r>
      <w:r w:rsidR="003C64E0" w:rsidRPr="009C2EF2">
        <w:rPr>
          <w:rFonts w:ascii="Times New Roman" w:hAnsi="Times New Roman"/>
          <w:i/>
          <w:color w:val="231F20"/>
          <w:spacing w:val="-2"/>
          <w:sz w:val="24"/>
          <w:szCs w:val="24"/>
          <w:lang w:val="az-Latn-AZ"/>
        </w:rPr>
        <w:t>bilər</w:t>
      </w:r>
      <w:r w:rsidR="003C64E0" w:rsidRPr="009C2EF2">
        <w:rPr>
          <w:rFonts w:ascii="Times New Roman" w:hAnsi="Times New Roman"/>
          <w:color w:val="231F20"/>
          <w:sz w:val="24"/>
          <w:szCs w:val="24"/>
          <w:lang w:val="az-Latn-AZ"/>
        </w:rPr>
        <w:t>.</w:t>
      </w:r>
    </w:p>
    <w:p w:rsidR="00D02DD9" w:rsidRPr="009C2EF2" w:rsidRDefault="00D02DD9" w:rsidP="001F22AE">
      <w:pPr>
        <w:pStyle w:val="a3"/>
        <w:kinsoku w:val="0"/>
        <w:overflowPunct w:val="0"/>
        <w:spacing w:before="9"/>
        <w:ind w:left="0"/>
        <w:jc w:val="both"/>
        <w:rPr>
          <w:rFonts w:ascii="Times New Roman" w:hAnsi="Times New Roman"/>
          <w:sz w:val="24"/>
          <w:szCs w:val="24"/>
          <w:lang w:val="az-Latn-AZ"/>
        </w:rPr>
      </w:pPr>
    </w:p>
    <w:p w:rsidR="00D02DD9" w:rsidRPr="009C2EF2" w:rsidRDefault="003C64E0" w:rsidP="001F22AE">
      <w:pPr>
        <w:pStyle w:val="a3"/>
        <w:numPr>
          <w:ilvl w:val="1"/>
          <w:numId w:val="55"/>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qiymətləndirmələr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z w:val="24"/>
          <w:szCs w:val="24"/>
          <w:lang w:val="az-Latn-AZ"/>
        </w:rPr>
        <w:t xml:space="preserve">üzrə həyata keçirilə bilər. </w:t>
      </w:r>
      <w:r w:rsidRPr="009C2EF2">
        <w:rPr>
          <w:rFonts w:ascii="Times New Roman" w:hAnsi="Times New Roman"/>
          <w:i/>
          <w:color w:val="231F20"/>
          <w:sz w:val="24"/>
          <w:szCs w:val="24"/>
          <w:lang w:val="az-Latn-AZ"/>
        </w:rPr>
        <w:t xml:space="preserve">Qiymətləndirici </w:t>
      </w:r>
      <w:r w:rsidRPr="009C2EF2">
        <w:rPr>
          <w:rFonts w:ascii="Times New Roman" w:hAnsi="Times New Roman"/>
          <w:i/>
          <w:color w:val="231F20"/>
          <w:spacing w:val="1"/>
          <w:sz w:val="24"/>
          <w:szCs w:val="24"/>
          <w:lang w:val="az-Latn-AZ"/>
        </w:rPr>
        <w:t>qiymətləndirmə məqsədini</w:t>
      </w:r>
      <w:r w:rsidRPr="009C2EF2">
        <w:rPr>
          <w:rFonts w:ascii="Times New Roman" w:hAnsi="Times New Roman"/>
          <w:color w:val="231F20"/>
          <w:sz w:val="24"/>
          <w:szCs w:val="24"/>
          <w:lang w:val="az-Latn-AZ"/>
        </w:rPr>
        <w:t xml:space="preserve"> başa düşməli,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qiymətləndirilməsinə dair, eləcə də, qiymətləndirmənin ayrı-ayrılıqda və ya digər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z w:val="24"/>
          <w:szCs w:val="24"/>
          <w:lang w:val="az-Latn-AZ"/>
        </w:rPr>
        <w:t xml:space="preserve">birlikdə qrup şəklində keçirilməsinə dair qərar qəbul etməlidir.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qiymətləndirilməsi komponentinin daxil edildiyi halların natamam siyahısı aşağıda verilib:</w:t>
      </w:r>
    </w:p>
    <w:p w:rsidR="00D02DD9" w:rsidRPr="009C2EF2" w:rsidRDefault="00D02DD9" w:rsidP="001F22AE">
      <w:pPr>
        <w:pStyle w:val="a3"/>
        <w:kinsoku w:val="0"/>
        <w:overflowPunct w:val="0"/>
        <w:spacing w:before="9"/>
        <w:ind w:left="0"/>
        <w:jc w:val="both"/>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Maliyyə hesabatlarının </w:t>
      </w:r>
      <w:r w:rsidRPr="009C2EF2">
        <w:rPr>
          <w:rFonts w:ascii="Times New Roman" w:hAnsi="Times New Roman"/>
          <w:i/>
          <w:color w:val="231F20"/>
          <w:sz w:val="24"/>
          <w:szCs w:val="24"/>
          <w:lang w:val="az-Latn-AZ"/>
        </w:rPr>
        <w:t xml:space="preserve">məqsədindən </w:t>
      </w:r>
      <w:r w:rsidRPr="009C2EF2">
        <w:rPr>
          <w:rFonts w:ascii="Times New Roman" w:hAnsi="Times New Roman"/>
          <w:color w:val="231F20"/>
          <w:spacing w:val="-1"/>
          <w:sz w:val="24"/>
          <w:szCs w:val="24"/>
          <w:lang w:val="az-Latn-AZ"/>
        </w:rPr>
        <w:t xml:space="preserve">asılı olaraq, qeyri-maddi </w:t>
      </w:r>
      <w:r w:rsidRPr="009C2EF2">
        <w:rPr>
          <w:rFonts w:ascii="Times New Roman" w:hAnsi="Times New Roman"/>
          <w:i/>
          <w:color w:val="231F20"/>
          <w:sz w:val="24"/>
          <w:szCs w:val="24"/>
          <w:lang w:val="az-Latn-AZ"/>
        </w:rPr>
        <w:t>aktivlərin qiymətləndirilməsi</w:t>
      </w:r>
      <w:r w:rsidRPr="009C2EF2">
        <w:rPr>
          <w:rFonts w:ascii="Times New Roman" w:hAnsi="Times New Roman"/>
          <w:color w:val="231F20"/>
          <w:spacing w:val="-1"/>
          <w:sz w:val="24"/>
          <w:szCs w:val="24"/>
          <w:lang w:val="az-Latn-AZ"/>
        </w:rPr>
        <w:t xml:space="preserve">, əsasən, şirkət birləşmələri,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alqısı və satqısı, eləcə də, qiymət</w:t>
      </w:r>
      <w:r w:rsidR="00FD4253" w:rsidRPr="009C2EF2">
        <w:rPr>
          <w:rFonts w:ascii="Times New Roman" w:hAnsi="Times New Roman"/>
          <w:color w:val="231F20"/>
          <w:spacing w:val="-1"/>
          <w:sz w:val="24"/>
          <w:szCs w:val="24"/>
          <w:lang w:val="az-Latn-AZ"/>
        </w:rPr>
        <w:t>d</w:t>
      </w:r>
      <w:r w:rsidRPr="009C2EF2">
        <w:rPr>
          <w:rFonts w:ascii="Times New Roman" w:hAnsi="Times New Roman"/>
          <w:color w:val="231F20"/>
          <w:spacing w:val="-1"/>
          <w:sz w:val="24"/>
          <w:szCs w:val="24"/>
          <w:lang w:val="az-Latn-AZ"/>
        </w:rPr>
        <w:t>ən düşmə ilə bağlı təhlillərin aparılması ilə əlaqədardır.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31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Vergi hesabatlarının </w:t>
      </w:r>
      <w:r w:rsidRPr="009C2EF2">
        <w:rPr>
          <w:rFonts w:ascii="Times New Roman" w:hAnsi="Times New Roman"/>
          <w:i/>
          <w:color w:val="231F20"/>
          <w:sz w:val="24"/>
          <w:szCs w:val="24"/>
          <w:lang w:val="az-Latn-AZ"/>
        </w:rPr>
        <w:t xml:space="preserve">məqsədindən </w:t>
      </w:r>
      <w:r w:rsidRPr="009C2EF2">
        <w:rPr>
          <w:rFonts w:ascii="Times New Roman" w:hAnsi="Times New Roman"/>
          <w:color w:val="231F20"/>
          <w:spacing w:val="-1"/>
          <w:sz w:val="24"/>
          <w:szCs w:val="24"/>
          <w:lang w:val="az-Latn-AZ"/>
        </w:rPr>
        <w:t xml:space="preserve">asılı olaraq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qiymətləndirilməsi, əsasən, transfer qiymətqoyma təhlili, əmlak və hədiyyə vergisinin planlaşdırılması və hesabatının hazır</w:t>
      </w:r>
      <w:r w:rsidR="00FD4253" w:rsidRPr="009C2EF2">
        <w:rPr>
          <w:rFonts w:ascii="Times New Roman" w:hAnsi="Times New Roman"/>
          <w:color w:val="231F20"/>
          <w:spacing w:val="-1"/>
          <w:sz w:val="24"/>
          <w:szCs w:val="24"/>
          <w:lang w:val="az-Latn-AZ"/>
        </w:rPr>
        <w:t>l</w:t>
      </w:r>
      <w:r w:rsidRPr="009C2EF2">
        <w:rPr>
          <w:rFonts w:ascii="Times New Roman" w:hAnsi="Times New Roman"/>
          <w:color w:val="231F20"/>
          <w:spacing w:val="-1"/>
          <w:sz w:val="24"/>
          <w:szCs w:val="24"/>
          <w:lang w:val="az-Latn-AZ"/>
        </w:rPr>
        <w:t>anması, eləcə də, ad valorem vergisinin təhlili zamanı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4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aktivlər səhmdar mübahisələri, təzminatın ödənilməsi və boşanma kimi hallarda qiymətləndirmə təhlilini tələb edən məhkəmə çəkişməsinin mövzusu ola </w:t>
      </w:r>
      <w:r w:rsidRPr="009C2EF2">
        <w:rPr>
          <w:rFonts w:ascii="Times New Roman" w:hAnsi="Times New Roman"/>
          <w:i/>
          <w:color w:val="231F20"/>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Digər qanuni hallarda məcburi özgəninkiləşdirmə/xüsusi mülkiyyətin məcburi özgəninkiləşdirilməsi prosedurası ilə bağlı qeyri-maddi </w:t>
      </w:r>
      <w:r w:rsidRPr="009C2EF2">
        <w:rPr>
          <w:rFonts w:ascii="Times New Roman" w:hAnsi="Times New Roman"/>
          <w:i/>
          <w:color w:val="231F20"/>
          <w:spacing w:val="-1"/>
          <w:sz w:val="24"/>
          <w:szCs w:val="24"/>
          <w:lang w:val="az-Latn-AZ"/>
        </w:rPr>
        <w:t>aktivlərin</w:t>
      </w:r>
    </w:p>
    <w:p w:rsidR="00D02DD9" w:rsidRPr="009C2EF2" w:rsidRDefault="003C64E0">
      <w:pPr>
        <w:pStyle w:val="a3"/>
        <w:kinsoku w:val="0"/>
        <w:overflowPunct w:val="0"/>
        <w:spacing w:before="9"/>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qiymətləndirilməsi tələb oluna</w:t>
      </w:r>
      <w:r w:rsidR="00FD4253"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5"/>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Qiymətləndiricilərdən </w:t>
      </w: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təminatlı kreditləşməyə və tranzaksiya fəaliyyətinə dəstək tapşırıqlarının  bir hissəsi kimi qiymətləndirilməsi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4"/>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3C64E0">
      <w:pPr>
        <w:pStyle w:val="a3"/>
        <w:numPr>
          <w:ilvl w:val="1"/>
          <w:numId w:val="54"/>
        </w:numPr>
        <w:tabs>
          <w:tab w:val="left" w:pos="681"/>
        </w:tabs>
        <w:kinsoku w:val="0"/>
        <w:overflowPunct w:val="0"/>
        <w:spacing w:before="122" w:line="250" w:lineRule="auto"/>
        <w:ind w:left="680" w:right="164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104 Dəyər Bazaları standartına uyğun olaraq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 xml:space="preserve">aktivləri </w:t>
      </w:r>
      <w:r w:rsidRPr="009C2EF2">
        <w:rPr>
          <w:rFonts w:ascii="Times New Roman" w:hAnsi="Times New Roman"/>
          <w:color w:val="231F20"/>
          <w:sz w:val="24"/>
          <w:szCs w:val="24"/>
          <w:lang w:val="az-Latn-AZ"/>
        </w:rPr>
        <w:t>seçərkən uyğun dəyər bazasını (bazalarını) müəyyən etməlidir.</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0" w:right="848"/>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59</w:t>
      </w:r>
    </w:p>
    <w:p w:rsidR="00D02DD9" w:rsidRPr="009C2EF2" w:rsidRDefault="00D02DD9">
      <w:pPr>
        <w:pStyle w:val="a3"/>
        <w:kinsoku w:val="0"/>
        <w:overflowPunct w:val="0"/>
        <w:spacing w:before="80"/>
        <w:ind w:left="0" w:right="848"/>
        <w:jc w:val="center"/>
        <w:rPr>
          <w:rFonts w:ascii="Times New Roman" w:hAnsi="Times New Roman"/>
          <w:color w:val="000000"/>
          <w:sz w:val="24"/>
          <w:szCs w:val="24"/>
          <w:lang w:val="az-Latn-AZ"/>
        </w:rPr>
        <w:sectPr w:rsidR="00D02DD9" w:rsidRPr="009C2EF2">
          <w:footerReference w:type="default" r:id="rId6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7120" behindDoc="1" locked="0" layoutInCell="0" allowOverlap="1">
                <wp:simplePos x="0" y="0"/>
                <wp:positionH relativeFrom="page">
                  <wp:posOffset>0</wp:posOffset>
                </wp:positionH>
                <wp:positionV relativeFrom="page">
                  <wp:posOffset>0</wp:posOffset>
                </wp:positionV>
                <wp:extent cx="432435" cy="8424545"/>
                <wp:effectExtent l="0" t="0" r="0" b="0"/>
                <wp:wrapNone/>
                <wp:docPr id="13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AFB2D3" id="Freeform 137" o:spid="_x0000_s1026" style="position:absolute;margin-left:0;margin-top:0;width:34.05pt;height:663.3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FD4253">
      <w:pPr>
        <w:pStyle w:val="a3"/>
        <w:numPr>
          <w:ilvl w:val="1"/>
          <w:numId w:val="54"/>
        </w:numPr>
        <w:tabs>
          <w:tab w:val="left" w:pos="1531"/>
        </w:tabs>
        <w:kinsoku w:val="0"/>
        <w:overflowPunct w:val="0"/>
        <w:spacing w:before="77" w:line="250" w:lineRule="auto"/>
        <w:ind w:right="8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üzrə qiymətləndirmələr BQSŞ-dən kənar müəssisə və ya təşkilatlar tərəfindən müəyyən edilmiş dəyər bazaları əsasında icra edilir (BQS 104 Qiymətləndimə Bazaları bölməsində bəzi nümunələr verilib) və qiymətləndirmə tarixinədək </w:t>
      </w:r>
      <w:r w:rsidRPr="009C2EF2">
        <w:rPr>
          <w:rFonts w:ascii="Times New Roman" w:hAnsi="Times New Roman"/>
          <w:i/>
          <w:color w:val="231F20"/>
          <w:sz w:val="24"/>
          <w:szCs w:val="24"/>
          <w:lang w:val="az-Latn-AZ"/>
        </w:rPr>
        <w:t xml:space="preserve">qiymətləndiricilərdən </w:t>
      </w:r>
      <w:r w:rsidRPr="009C2EF2">
        <w:rPr>
          <w:rFonts w:ascii="Times New Roman" w:hAnsi="Times New Roman"/>
          <w:color w:val="231F20"/>
          <w:spacing w:val="1"/>
          <w:sz w:val="24"/>
          <w:szCs w:val="24"/>
          <w:lang w:val="az-Latn-AZ"/>
        </w:rPr>
        <w:t>qanunu, məhkəmə təcrübəsini və tətbiq edilmiş dəyər bazaları ilə bağlı digər izahlı təlimatları başa düşməsi və onlara əməl etməsi tələb olunur.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Heading41"/>
        <w:numPr>
          <w:ilvl w:val="0"/>
          <w:numId w:val="53"/>
        </w:numPr>
        <w:tabs>
          <w:tab w:val="left" w:pos="1531"/>
        </w:tabs>
        <w:kinsoku w:val="0"/>
        <w:overflowPunct w:val="0"/>
        <w:ind w:left="1530" w:right="84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3C64E0" w:rsidP="00FD4253">
      <w:pPr>
        <w:pStyle w:val="a3"/>
        <w:numPr>
          <w:ilvl w:val="1"/>
          <w:numId w:val="53"/>
        </w:numPr>
        <w:tabs>
          <w:tab w:val="left" w:pos="1531"/>
        </w:tabs>
        <w:kinsoku w:val="0"/>
        <w:overflowPunct w:val="0"/>
        <w:spacing w:before="122" w:line="250" w:lineRule="auto"/>
        <w:ind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 xml:space="preserve">aktivləri </w:t>
      </w:r>
      <w:r w:rsidRPr="009C2EF2">
        <w:rPr>
          <w:rFonts w:ascii="Times New Roman" w:hAnsi="Times New Roman"/>
          <w:color w:val="231F20"/>
          <w:sz w:val="24"/>
          <w:szCs w:val="24"/>
          <w:lang w:val="az-Latn-AZ"/>
        </w:rPr>
        <w:t>qiymətləndirərkən BQS 105 Qiymətləndirmə Yanaşmaları və Metodları bölməsində nəzərdə tutulan üç qiymətləndirmə yanaşması tətbiq oluna bilər.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3"/>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standartın tələblərinə əlavə olaraq yanaşma və üsul seçərkən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BQS 105 Qiymətləndirmə Yanaşmaları və Metodları bölməsinin, o cümlədən, 10.3-cü bəndin şərtlərini nəzərə almalıdır.</w:t>
      </w:r>
    </w:p>
    <w:p w:rsidR="00D02DD9" w:rsidRPr="009C2EF2" w:rsidRDefault="003C64E0" w:rsidP="00FD4253">
      <w:pPr>
        <w:pStyle w:val="Heading41"/>
        <w:numPr>
          <w:ilvl w:val="0"/>
          <w:numId w:val="52"/>
        </w:numPr>
        <w:tabs>
          <w:tab w:val="left" w:pos="1531"/>
        </w:tabs>
        <w:kinsoku w:val="0"/>
        <w:overflowPunct w:val="0"/>
        <w:ind w:left="1530" w:right="84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75026C" w:rsidP="00FD4253">
      <w:pPr>
        <w:pStyle w:val="a3"/>
        <w:numPr>
          <w:ilvl w:val="1"/>
          <w:numId w:val="52"/>
        </w:numPr>
        <w:tabs>
          <w:tab w:val="left" w:pos="1531"/>
        </w:tabs>
        <w:kinsoku w:val="0"/>
        <w:overflowPunct w:val="0"/>
        <w:spacing w:before="122" w:line="250" w:lineRule="auto"/>
        <w:ind w:right="840"/>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98336" behindDoc="0" locked="0" layoutInCell="0" allowOverlap="1">
                <wp:simplePos x="0" y="0"/>
                <wp:positionH relativeFrom="page">
                  <wp:posOffset>151130</wp:posOffset>
                </wp:positionH>
                <wp:positionV relativeFrom="paragraph">
                  <wp:posOffset>292735</wp:posOffset>
                </wp:positionV>
                <wp:extent cx="152400" cy="2733675"/>
                <wp:effectExtent l="0" t="0" r="0" b="0"/>
                <wp:wrapNone/>
                <wp:docPr id="13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8" type="#_x0000_t202" style="position:absolute;left:0;text-align:left;margin-left:11.9pt;margin-top:23.05pt;width:12pt;height:215.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ltswIAALg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Bazar yanaşmasında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dəyəri bazar fəaliyyəti əsasında müəyyən edilir (məsələn, eyni və ya oxşar </w:t>
      </w:r>
      <w:r w:rsidR="003C64E0" w:rsidRPr="009C2EF2">
        <w:rPr>
          <w:rFonts w:ascii="Times New Roman" w:hAnsi="Times New Roman"/>
          <w:i/>
          <w:color w:val="231F20"/>
          <w:spacing w:val="-1"/>
          <w:sz w:val="24"/>
          <w:szCs w:val="24"/>
          <w:lang w:val="az-Latn-AZ"/>
        </w:rPr>
        <w:t xml:space="preserve">aktivlərin </w:t>
      </w:r>
      <w:r w:rsidR="003C64E0" w:rsidRPr="009C2EF2">
        <w:rPr>
          <w:rFonts w:ascii="Times New Roman" w:hAnsi="Times New Roman"/>
          <w:color w:val="231F20"/>
          <w:sz w:val="24"/>
          <w:szCs w:val="24"/>
          <w:lang w:val="az-Latn-AZ"/>
        </w:rPr>
        <w:t>cəlb olunduğu əməliyyatlar).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cəlb olunduğu əməliyyatlara, adətən, digər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 xml:space="preserve">də daxil olur (məsələn, 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daxil olduğu şirkətin birləşməsi).</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 </w:t>
      </w: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 xml:space="preserve">qiymətləndirilməsinə bazar yanaşmasının uyğun gəlib-gəlmədiyini müəyyənləşdirərkən BQS 105 standartının 20.2 və 20.3-cü bəndlərini nəzərə almalıdırlar. Bundan başqa,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 xml:space="preserve">yalnız aşağıda verilmiş hər iki tələbin yerinə yetirildiyi təqdirdə qeyri-maddi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qiymətləndirmək üçün bazar yanaşmasını tətbiq etməlidirlər: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2"/>
          <w:numId w:val="52"/>
        </w:numPr>
        <w:tabs>
          <w:tab w:val="left" w:pos="1815"/>
        </w:tabs>
        <w:kinsoku w:val="0"/>
        <w:overflowPunct w:val="0"/>
        <w:spacing w:line="250" w:lineRule="auto"/>
        <w:ind w:left="1814"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tarixində və ya qiymətləndirmə tarixinə yaxın bir zamanda eyni və ya oxşar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cəlb olunduğu əməliyyatlar haqqında məlumat əlçatan olarsa və</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2"/>
          <w:numId w:val="52"/>
        </w:numPr>
        <w:tabs>
          <w:tab w:val="left" w:pos="1815"/>
        </w:tabs>
        <w:kinsoku w:val="0"/>
        <w:overflowPunct w:val="0"/>
        <w:spacing w:line="250" w:lineRule="auto"/>
        <w:ind w:left="1814" w:right="84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qiymətləndiriciyə </w:t>
      </w: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ilə əməliyyata cəlb olunmuş aktivlər arasındakı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pacing w:val="1"/>
          <w:sz w:val="24"/>
          <w:szCs w:val="24"/>
          <w:lang w:val="az-Latn-AZ"/>
        </w:rPr>
        <w:t>uyğunsuzluqları tənzimləməyə imkan verəcək kifayət qədər məlumat mövcud olarsa.</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heterogen xüsusiyyəti və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nadir hallarda digər </w:t>
      </w:r>
      <w:r w:rsidRPr="009C2EF2">
        <w:rPr>
          <w:rFonts w:ascii="Times New Roman" w:hAnsi="Times New Roman"/>
          <w:i/>
          <w:color w:val="231F20"/>
          <w:sz w:val="24"/>
          <w:szCs w:val="24"/>
          <w:lang w:val="az-Latn-AZ"/>
        </w:rPr>
        <w:t xml:space="preserve">aktivlərdən </w:t>
      </w:r>
      <w:r w:rsidRPr="009C2EF2">
        <w:rPr>
          <w:rFonts w:ascii="Times New Roman" w:hAnsi="Times New Roman"/>
          <w:color w:val="231F20"/>
          <w:sz w:val="24"/>
          <w:szCs w:val="24"/>
          <w:lang w:val="az-Latn-AZ"/>
        </w:rPr>
        <w:t xml:space="preserve">ayrı əməliyyata cəlb olunması faktı oxşar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 xml:space="preserve">cəlb olunduğu əməliyyatlar üzrə bazar sübutunun nadir hallarda tapıldığını ifadə edir. Tapılan bazar sübutu, əsasən, eyni deyil oxşar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aid olur.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 və ya qiymətləndirmə ilə bağlı məlumat olduğu təqdirdə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pacing w:val="1"/>
          <w:sz w:val="24"/>
          <w:szCs w:val="24"/>
          <w:lang w:val="az-Latn-AZ"/>
        </w:rPr>
        <w:t xml:space="preserve">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ilə əməliyyata cəlb olunan aktivlər arasındakı fərqlilikləri göstərmək üçün onların üzərində müvafiq dəyişikliklər etməlidirlər. Bu tənzimləmələr qiymətləndirilən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ilə əməliyyata cəlb olunmuş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arasındakı fərqli xüsusiyyətlərin göstərilməsi zamanı tələb olunur. Belə tənzimləmələr kəmiyyət üzrə deyil, yalnız keyfiyyət üzrə tətbiq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Lakin, keyfiyyət ilə bağlı </w:t>
      </w:r>
      <w:r w:rsidRPr="009C2EF2">
        <w:rPr>
          <w:rFonts w:ascii="Times New Roman" w:hAnsi="Times New Roman"/>
          <w:i/>
          <w:color w:val="231F20"/>
          <w:sz w:val="24"/>
          <w:szCs w:val="24"/>
          <w:lang w:val="az-Latn-AZ"/>
        </w:rPr>
        <w:t xml:space="preserve">əhəmiyyətli </w:t>
      </w:r>
      <w:r w:rsidRPr="009C2EF2">
        <w:rPr>
          <w:rFonts w:ascii="Times New Roman" w:hAnsi="Times New Roman"/>
          <w:color w:val="231F20"/>
          <w:spacing w:val="1"/>
          <w:sz w:val="24"/>
          <w:szCs w:val="24"/>
          <w:lang w:val="az-Latn-AZ"/>
        </w:rPr>
        <w:t xml:space="preserve">dəyişikliklərin tələb olunması bu qiymətləndirməyə başqa bir yanaşmanın tətbiq edilməsini uyğun göstərə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Yuxarıdakılarla əlaqədar, bazar yanaşmasının bəzən tətbiq olunduğu qeyri-maddi </w:t>
      </w:r>
      <w:r w:rsidRPr="009C2EF2">
        <w:rPr>
          <w:rFonts w:ascii="Times New Roman" w:hAnsi="Times New Roman"/>
          <w:i/>
          <w:color w:val="231F20"/>
          <w:sz w:val="24"/>
          <w:szCs w:val="24"/>
          <w:lang w:val="az-Latn-AZ"/>
        </w:rPr>
        <w:t>aktivlərə</w:t>
      </w:r>
      <w:r w:rsidRPr="009C2EF2">
        <w:rPr>
          <w:rFonts w:ascii="Times New Roman" w:hAnsi="Times New Roman"/>
          <w:color w:val="231F20"/>
          <w:sz w:val="24"/>
          <w:szCs w:val="24"/>
          <w:lang w:val="az-Latn-AZ"/>
        </w:rPr>
        <w:t>, nümunə olaraq, aşağıdakılar daxildir:</w:t>
      </w:r>
    </w:p>
    <w:p w:rsidR="00D02DD9" w:rsidRPr="009C2EF2" w:rsidRDefault="00D02DD9" w:rsidP="00FD4253">
      <w:pPr>
        <w:pStyle w:val="a3"/>
        <w:kinsoku w:val="0"/>
        <w:overflowPunct w:val="0"/>
        <w:spacing w:before="9"/>
        <w:ind w:left="0" w:right="840"/>
        <w:jc w:val="both"/>
        <w:rPr>
          <w:rFonts w:ascii="Times New Roman" w:hAnsi="Times New Roman"/>
          <w:sz w:val="24"/>
          <w:szCs w:val="24"/>
          <w:lang w:val="az-Latn-AZ"/>
        </w:rPr>
      </w:pPr>
    </w:p>
    <w:p w:rsidR="00D02DD9" w:rsidRPr="009C2EF2" w:rsidRDefault="003C64E0" w:rsidP="00FD4253">
      <w:pPr>
        <w:pStyle w:val="a3"/>
        <w:numPr>
          <w:ilvl w:val="2"/>
          <w:numId w:val="52"/>
        </w:numPr>
        <w:tabs>
          <w:tab w:val="left" w:pos="1815"/>
        </w:tabs>
        <w:kinsoku w:val="0"/>
        <w:overflowPunct w:val="0"/>
        <w:ind w:left="1814"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yayım dairəsi,</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60</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6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8144" behindDoc="1" locked="0" layoutInCell="0" allowOverlap="1">
                <wp:simplePos x="0" y="0"/>
                <wp:positionH relativeFrom="page">
                  <wp:posOffset>5183505</wp:posOffset>
                </wp:positionH>
                <wp:positionV relativeFrom="page">
                  <wp:posOffset>0</wp:posOffset>
                </wp:positionV>
                <wp:extent cx="431800" cy="8423910"/>
                <wp:effectExtent l="0" t="0" r="0" b="0"/>
                <wp:wrapNone/>
                <wp:docPr id="130"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F8D95B" id="Freeform 139" o:spid="_x0000_s1026" style="position:absolute;margin-left:408.15pt;margin-top:0;width:34pt;height:663.3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lqS/LX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52"/>
        </w:numPr>
        <w:tabs>
          <w:tab w:val="left" w:pos="965"/>
        </w:tabs>
        <w:kinsoku w:val="0"/>
        <w:overflowPunct w:val="0"/>
        <w:spacing w:before="77"/>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internet domen adları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taksi lisenziyaları.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FD4253">
      <w:pPr>
        <w:pStyle w:val="a3"/>
        <w:numPr>
          <w:ilvl w:val="1"/>
          <w:numId w:val="52"/>
        </w:numPr>
        <w:tabs>
          <w:tab w:val="left" w:pos="681"/>
        </w:tabs>
        <w:kinsoku w:val="0"/>
        <w:overflowPunct w:val="0"/>
        <w:spacing w:line="250" w:lineRule="auto"/>
        <w:ind w:left="680" w:right="1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Rəhbər əməliyyatlar metodu qeyri-maddi </w:t>
      </w:r>
      <w:r w:rsidR="00FD4253" w:rsidRPr="009C2EF2">
        <w:rPr>
          <w:rFonts w:ascii="Times New Roman" w:hAnsi="Times New Roman"/>
          <w:i/>
          <w:color w:val="231F20"/>
          <w:spacing w:val="-1"/>
          <w:sz w:val="24"/>
          <w:szCs w:val="24"/>
          <w:lang w:val="az-Latn-AZ"/>
        </w:rPr>
        <w:t>aktivlərə</w:t>
      </w:r>
      <w:r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tətbiq edilə bilən ümumilikdə yeganə bazar yan</w:t>
      </w:r>
      <w:r w:rsidR="001F22AE" w:rsidRPr="009C2EF2">
        <w:rPr>
          <w:rFonts w:ascii="Times New Roman" w:hAnsi="Times New Roman"/>
          <w:color w:val="231F20"/>
          <w:sz w:val="24"/>
          <w:szCs w:val="24"/>
          <w:lang w:val="az-Latn-AZ"/>
        </w:rPr>
        <w:t>a</w:t>
      </w:r>
      <w:r w:rsidRPr="009C2EF2">
        <w:rPr>
          <w:rFonts w:ascii="Times New Roman" w:hAnsi="Times New Roman"/>
          <w:color w:val="231F20"/>
          <w:sz w:val="24"/>
          <w:szCs w:val="24"/>
          <w:lang w:val="az-Latn-AZ"/>
        </w:rPr>
        <w:t>şmasıdır.</w:t>
      </w:r>
    </w:p>
    <w:p w:rsidR="00D02DD9" w:rsidRPr="009C2EF2" w:rsidRDefault="00D02DD9" w:rsidP="00FD4253">
      <w:pPr>
        <w:pStyle w:val="a3"/>
        <w:kinsoku w:val="0"/>
        <w:overflowPunct w:val="0"/>
        <w:spacing w:before="9"/>
        <w:ind w:left="0"/>
        <w:jc w:val="both"/>
        <w:rPr>
          <w:rFonts w:ascii="Times New Roman" w:hAnsi="Times New Roman"/>
          <w:sz w:val="24"/>
          <w:szCs w:val="24"/>
          <w:lang w:val="az-Latn-AZ"/>
        </w:rPr>
      </w:pPr>
    </w:p>
    <w:p w:rsidR="00D02DD9" w:rsidRPr="009C2EF2" w:rsidRDefault="003C64E0" w:rsidP="00FD4253">
      <w:pPr>
        <w:pStyle w:val="a3"/>
        <w:numPr>
          <w:ilvl w:val="1"/>
          <w:numId w:val="52"/>
        </w:numPr>
        <w:tabs>
          <w:tab w:val="left" w:pos="681"/>
        </w:tabs>
        <w:kinsoku w:val="0"/>
        <w:overflowPunct w:val="0"/>
        <w:spacing w:line="250" w:lineRule="auto"/>
        <w:ind w:left="680" w:right="133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Nadir hallarda, qiymətləndirilən qeyri-maddi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z w:val="24"/>
          <w:szCs w:val="24"/>
          <w:lang w:val="az-Latn-AZ"/>
        </w:rPr>
        <w:t>oxşayan qiymətli kağız dövlət şirkətinin nəzarət metodu əsasında ictimaiyyətə açıq ola bilər. Bu qiymətli kağızlara nümunə xüsusi məhsulun</w:t>
      </w:r>
    </w:p>
    <w:p w:rsidR="00D02DD9" w:rsidRPr="009C2EF2" w:rsidRDefault="003C64E0" w:rsidP="00FD4253">
      <w:pPr>
        <w:pStyle w:val="a3"/>
        <w:kinsoku w:val="0"/>
        <w:overflowPunct w:val="0"/>
        <w:spacing w:line="250" w:lineRule="auto"/>
        <w:ind w:left="680"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və ya texnologiyanın performansı ilə bağlı olan şərti kompensasiya hüquqları (CVRs) ola bilər.</w:t>
      </w:r>
    </w:p>
    <w:p w:rsidR="00D02DD9" w:rsidRPr="009C2EF2" w:rsidRDefault="00D02DD9" w:rsidP="00FD4253">
      <w:pPr>
        <w:pStyle w:val="a3"/>
        <w:kinsoku w:val="0"/>
        <w:overflowPunct w:val="0"/>
        <w:spacing w:before="9"/>
        <w:ind w:left="0"/>
        <w:jc w:val="both"/>
        <w:rPr>
          <w:rFonts w:ascii="Times New Roman" w:hAnsi="Times New Roman"/>
          <w:sz w:val="24"/>
          <w:szCs w:val="24"/>
          <w:lang w:val="az-Latn-AZ"/>
        </w:rPr>
      </w:pPr>
    </w:p>
    <w:p w:rsidR="00D02DD9" w:rsidRPr="009C2EF2" w:rsidRDefault="003C64E0" w:rsidP="00FD4253">
      <w:pPr>
        <w:pStyle w:val="Heading41"/>
        <w:numPr>
          <w:ilvl w:val="0"/>
          <w:numId w:val="51"/>
        </w:numPr>
        <w:tabs>
          <w:tab w:val="left" w:pos="681"/>
        </w:tabs>
        <w:kinsoku w:val="0"/>
        <w:overflowPunct w:val="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75026C" w:rsidP="00FD4253">
      <w:pPr>
        <w:pStyle w:val="a3"/>
        <w:numPr>
          <w:ilvl w:val="1"/>
          <w:numId w:val="51"/>
        </w:numPr>
        <w:tabs>
          <w:tab w:val="left" w:pos="681"/>
        </w:tabs>
        <w:kinsoku w:val="0"/>
        <w:overflowPunct w:val="0"/>
        <w:spacing w:before="122" w:line="250" w:lineRule="auto"/>
        <w:ind w:left="680" w:right="1186"/>
        <w:jc w:val="both"/>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599360" behindDoc="0" locked="0" layoutInCell="0" allowOverlap="1">
                <wp:simplePos x="0" y="0"/>
                <wp:positionH relativeFrom="page">
                  <wp:posOffset>5276215</wp:posOffset>
                </wp:positionH>
                <wp:positionV relativeFrom="paragraph">
                  <wp:posOffset>531495</wp:posOffset>
                </wp:positionV>
                <wp:extent cx="152400" cy="2733675"/>
                <wp:effectExtent l="0" t="0" r="0" b="0"/>
                <wp:wrapNone/>
                <wp:docPr id="12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9" type="#_x0000_t202" style="position:absolute;left:0;text-align:left;margin-left:415.45pt;margin-top:41.85pt;width:12pt;height:215.2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MLsg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Gəlir yanaşmasına əsasən, qeyri-maddi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dəyəri cari gəlir dəyəri, pul axını və ya qeyri-maddi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yaratmış olduğu qənaət əsasında müəyyən edilir.</w:t>
      </w:r>
    </w:p>
    <w:p w:rsidR="00D02DD9" w:rsidRPr="009C2EF2" w:rsidRDefault="003C64E0" w:rsidP="00FD4253">
      <w:pPr>
        <w:pStyle w:val="a3"/>
        <w:numPr>
          <w:ilvl w:val="1"/>
          <w:numId w:val="51"/>
        </w:numPr>
        <w:tabs>
          <w:tab w:val="left" w:pos="681"/>
        </w:tabs>
        <w:kinsoku w:val="0"/>
        <w:overflowPunct w:val="0"/>
        <w:spacing w:line="250" w:lineRule="auto"/>
        <w:ind w:left="680" w:right="1283"/>
        <w:jc w:val="both"/>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Qiymətləndiricilər </w:t>
      </w: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 xml:space="preserve">qiymətləndirilməsinə gəlir yanaşmasının uyğun gəlib-gəlmədiyini müəyyənləşdirərkən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pacing w:val="1"/>
          <w:sz w:val="24"/>
          <w:szCs w:val="24"/>
          <w:lang w:val="az-Latn-AZ"/>
        </w:rPr>
        <w:t>standartının 40.2 və 40.3-cü bəndlərini nəzərə almalıdırlar.</w:t>
      </w:r>
    </w:p>
    <w:p w:rsidR="00D02DD9" w:rsidRPr="009C2EF2" w:rsidRDefault="003C64E0" w:rsidP="00FD4253">
      <w:pPr>
        <w:pStyle w:val="a3"/>
        <w:numPr>
          <w:ilvl w:val="1"/>
          <w:numId w:val="51"/>
        </w:numPr>
        <w:tabs>
          <w:tab w:val="left" w:pos="681"/>
        </w:tabs>
        <w:kinsoku w:val="0"/>
        <w:overflowPunct w:val="0"/>
        <w:spacing w:line="250" w:lineRule="auto"/>
        <w:ind w:left="680" w:right="105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1"/>
          <w:sz w:val="24"/>
          <w:szCs w:val="24"/>
          <w:lang w:val="az-Latn-AZ"/>
        </w:rPr>
        <w:t xml:space="preserve">bağlı gəlir, adətən, məhsul və xidmətlərin qiymətinə daxil olur. Qeyri-maddi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pacing w:val="1"/>
          <w:sz w:val="24"/>
          <w:szCs w:val="24"/>
          <w:lang w:val="az-Latn-AZ"/>
        </w:rPr>
        <w:t xml:space="preserve">bağlı gəliri digər maddi və qeyri-maddi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pacing w:val="1"/>
          <w:sz w:val="24"/>
          <w:szCs w:val="24"/>
          <w:lang w:val="az-Latn-AZ"/>
        </w:rPr>
        <w:t xml:space="preserve">bağlı gəlirdən ayırmaq çətin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Gəlir yanaşması metodlarının əksəriyyəti qiymətləndirilən qeyri-maddi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pacing w:val="1"/>
          <w:sz w:val="24"/>
          <w:szCs w:val="24"/>
          <w:lang w:val="az-Latn-AZ"/>
        </w:rPr>
        <w:t>bağlı iqtisadi faydanı ayırmaq üçün nəzərdə tutulub</w:t>
      </w:r>
    </w:p>
    <w:p w:rsidR="00D02DD9" w:rsidRPr="009C2EF2" w:rsidRDefault="003C64E0" w:rsidP="00FD4253">
      <w:pPr>
        <w:pStyle w:val="a3"/>
        <w:numPr>
          <w:ilvl w:val="1"/>
          <w:numId w:val="51"/>
        </w:numPr>
        <w:tabs>
          <w:tab w:val="left" w:pos="681"/>
        </w:tabs>
        <w:kinsoku w:val="0"/>
        <w:overflowPunct w:val="0"/>
        <w:spacing w:line="250" w:lineRule="auto"/>
        <w:ind w:left="680"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 yanaşması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qiymətləndirilməsinə ən çox tətbiq olunan metoddur və aşağıdakılar daxil olmaqla 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qiymətləndirilməsi üçün, əsasən, bu metoddan istifadə olunur:</w:t>
      </w:r>
    </w:p>
    <w:p w:rsidR="00D02DD9" w:rsidRPr="009C2EF2" w:rsidRDefault="00D02DD9" w:rsidP="00FD4253">
      <w:pPr>
        <w:pStyle w:val="a3"/>
        <w:kinsoku w:val="0"/>
        <w:overflowPunct w:val="0"/>
        <w:spacing w:before="9"/>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texnologiya,</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FD4253"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müştəri-yönümlü qeyri-maddi aktivlər (məsələn, yerinə yetirilməmiş </w:t>
      </w:r>
    </w:p>
    <w:p w:rsidR="00FD4253" w:rsidRPr="009C2EF2" w:rsidRDefault="00FD4253" w:rsidP="00FD4253">
      <w:pPr>
        <w:pStyle w:val="a4"/>
        <w:rPr>
          <w:color w:val="231F20"/>
          <w:sz w:val="24"/>
          <w:szCs w:val="24"/>
          <w:lang w:val="az-Latn-AZ"/>
        </w:rPr>
      </w:pPr>
    </w:p>
    <w:p w:rsidR="00D02DD9" w:rsidRPr="009C2EF2" w:rsidRDefault="003C64E0" w:rsidP="00FD4253">
      <w:pPr>
        <w:pStyle w:val="a3"/>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sifariş portfeli, müqavilələr, əlaqələr),</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ticarət adları/əmtəə nişanları/brendlər,</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spacing w:line="250" w:lineRule="auto"/>
        <w:ind w:left="964" w:right="1811"/>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icazə lisenziyası (məsələn, françayzinq müqavilələri, oyun biznesi üçün lisenziya, yayım dairəsi) və </w:t>
      </w:r>
    </w:p>
    <w:p w:rsidR="00D02DD9" w:rsidRPr="009C2EF2" w:rsidRDefault="00D02DD9" w:rsidP="00FD4253">
      <w:pPr>
        <w:pStyle w:val="a3"/>
        <w:kinsoku w:val="0"/>
        <w:overflowPunct w:val="0"/>
        <w:spacing w:before="9"/>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rəqabətin olmamasına dair müqavilələr</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Heading51"/>
        <w:kinsoku w:val="0"/>
        <w:overflowPunct w:val="0"/>
        <w:jc w:val="both"/>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Gəlir Yanaşmasının Metodları</w:t>
      </w:r>
    </w:p>
    <w:p w:rsidR="00D02DD9" w:rsidRPr="009C2EF2" w:rsidRDefault="003C64E0" w:rsidP="00FD4253">
      <w:pPr>
        <w:pStyle w:val="a3"/>
        <w:numPr>
          <w:ilvl w:val="1"/>
          <w:numId w:val="51"/>
        </w:numPr>
        <w:tabs>
          <w:tab w:val="left" w:pos="681"/>
        </w:tabs>
        <w:kinsoku w:val="0"/>
        <w:overflowPunct w:val="0"/>
        <w:spacing w:before="122" w:line="250" w:lineRule="auto"/>
        <w:ind w:left="680" w:right="144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Gəlir yanaşması metodlarının müxtəlif növləri var. Aşağıdakı metodlardan bu standartda daha geniş bəhs olunur:</w:t>
      </w:r>
    </w:p>
    <w:p w:rsidR="00D02DD9" w:rsidRPr="009C2EF2" w:rsidRDefault="00D02DD9" w:rsidP="00FD4253">
      <w:pPr>
        <w:pStyle w:val="a3"/>
        <w:kinsoku w:val="0"/>
        <w:overflowPunct w:val="0"/>
        <w:spacing w:before="9"/>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izafi mənfəət metodu,</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royaltidən azad olma metodu,</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üstün gəlir metodu və ya qeyri-maddi aktivin daxil olub-olmadığı metod,</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qrinfild metodu və</w:t>
      </w:r>
    </w:p>
    <w:p w:rsidR="00D02DD9" w:rsidRPr="009C2EF2" w:rsidRDefault="00D02DD9" w:rsidP="00FD4253">
      <w:pPr>
        <w:pStyle w:val="a3"/>
        <w:kinsoku w:val="0"/>
        <w:overflowPunct w:val="0"/>
        <w:spacing w:before="7"/>
        <w:ind w:left="0"/>
        <w:jc w:val="both"/>
        <w:rPr>
          <w:rFonts w:ascii="Times New Roman" w:hAnsi="Times New Roman"/>
          <w:sz w:val="24"/>
          <w:szCs w:val="24"/>
          <w:lang w:val="az-Latn-AZ"/>
        </w:rPr>
      </w:pPr>
    </w:p>
    <w:p w:rsidR="00D02DD9" w:rsidRPr="009C2EF2" w:rsidRDefault="003C64E0" w:rsidP="00FD4253">
      <w:pPr>
        <w:pStyle w:val="a3"/>
        <w:numPr>
          <w:ilvl w:val="2"/>
          <w:numId w:val="51"/>
        </w:numPr>
        <w:tabs>
          <w:tab w:val="left" w:pos="965"/>
        </w:tabs>
        <w:kinsoku w:val="0"/>
        <w:overflowPunct w:val="0"/>
        <w:ind w:left="96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distribüter metodu.</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5"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61</w:t>
      </w:r>
    </w:p>
    <w:p w:rsidR="00D02DD9" w:rsidRPr="009C2EF2" w:rsidRDefault="00D02DD9">
      <w:pPr>
        <w:pStyle w:val="a3"/>
        <w:kinsoku w:val="0"/>
        <w:overflowPunct w:val="0"/>
        <w:spacing w:before="80"/>
        <w:ind w:left="2875" w:right="3725"/>
        <w:jc w:val="center"/>
        <w:rPr>
          <w:rFonts w:ascii="Times New Roman" w:hAnsi="Times New Roman"/>
          <w:color w:val="000000"/>
          <w:sz w:val="24"/>
          <w:szCs w:val="24"/>
          <w:lang w:val="az-Latn-AZ"/>
        </w:rPr>
        <w:sectPr w:rsidR="00D02DD9" w:rsidRPr="009C2EF2">
          <w:footerReference w:type="default" r:id="rId6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19168" behindDoc="1" locked="0" layoutInCell="0" allowOverlap="1">
                <wp:simplePos x="0" y="0"/>
                <wp:positionH relativeFrom="page">
                  <wp:posOffset>0</wp:posOffset>
                </wp:positionH>
                <wp:positionV relativeFrom="page">
                  <wp:posOffset>0</wp:posOffset>
                </wp:positionV>
                <wp:extent cx="432435" cy="8424545"/>
                <wp:effectExtent l="0" t="0" r="0" b="0"/>
                <wp:wrapNone/>
                <wp:docPr id="12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39D0F9" id="Freeform 141" o:spid="_x0000_s1026" style="position:absolute;margin-left:0;margin-top:0;width:34.05pt;height:663.3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oHmrfWQDAACG&#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Heading51"/>
        <w:kinsoku w:val="0"/>
        <w:overflowPunct w:val="0"/>
        <w:spacing w:before="77"/>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İzafi Mənfəət Metodu</w:t>
      </w:r>
    </w:p>
    <w:p w:rsidR="00D02DD9" w:rsidRPr="009C2EF2" w:rsidRDefault="003C64E0" w:rsidP="001617F2">
      <w:pPr>
        <w:pStyle w:val="a3"/>
        <w:numPr>
          <w:ilvl w:val="1"/>
          <w:numId w:val="51"/>
        </w:numPr>
        <w:tabs>
          <w:tab w:val="left" w:pos="1531"/>
        </w:tabs>
        <w:kinsoku w:val="0"/>
        <w:overflowPunct w:val="0"/>
        <w:spacing w:before="122" w:line="250" w:lineRule="auto"/>
        <w:ind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İzafi mənfəət metodu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dəyərini pul axınının yaradılması üçün tələb olunan digər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 xml:space="preserve">aid pul axınını çıxdıqdan sonra qiymətləndirilən qeyri-maddi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z w:val="24"/>
          <w:szCs w:val="24"/>
          <w:lang w:val="az-Latn-AZ"/>
        </w:rPr>
        <w:t xml:space="preserve">aid pul axınının cari dəyəri kimi hesablayır ("köməkçi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Bu metoddan, əsasən, alıcıdan ödənilmiş ümumi məbləğin maddi </w:t>
      </w:r>
      <w:r w:rsidRPr="009C2EF2">
        <w:rPr>
          <w:rFonts w:ascii="Times New Roman" w:hAnsi="Times New Roman"/>
          <w:i/>
          <w:color w:val="231F20"/>
          <w:sz w:val="24"/>
          <w:szCs w:val="24"/>
          <w:lang w:val="az-Latn-AZ"/>
        </w:rPr>
        <w:t>aktivlər</w:t>
      </w:r>
      <w:r w:rsidRPr="009C2EF2">
        <w:rPr>
          <w:rFonts w:ascii="Times New Roman" w:hAnsi="Times New Roman"/>
          <w:color w:val="231F20"/>
          <w:sz w:val="24"/>
          <w:szCs w:val="24"/>
          <w:lang w:val="az-Latn-AZ"/>
        </w:rPr>
        <w:t xml:space="preserve">, müəyyən edilə bilən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və qudvil arasında bölüşdürülməsi tələb olunduğu hallarda istifadə olunur.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1"/>
          <w:numId w:val="51"/>
        </w:numPr>
        <w:tabs>
          <w:tab w:val="left" w:pos="1531"/>
        </w:tabs>
        <w:kinsoku w:val="0"/>
        <w:overflowPunct w:val="0"/>
        <w:spacing w:line="250" w:lineRule="auto"/>
        <w:ind w:right="93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Köməkçi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qiymətləndirilən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ilə əlaqəli perspektivli pul axınının reallaşdırılması üçün qiymətləndirilən qeyri-maddi </w:t>
      </w:r>
      <w:r w:rsidRPr="009C2EF2">
        <w:rPr>
          <w:rFonts w:ascii="Times New Roman" w:hAnsi="Times New Roman"/>
          <w:i/>
          <w:color w:val="231F20"/>
          <w:sz w:val="24"/>
          <w:szCs w:val="24"/>
          <w:lang w:val="az-Latn-AZ"/>
        </w:rPr>
        <w:t xml:space="preserve">aktivlə </w:t>
      </w:r>
      <w:r w:rsidRPr="009C2EF2">
        <w:rPr>
          <w:rFonts w:ascii="Times New Roman" w:hAnsi="Times New Roman"/>
          <w:color w:val="231F20"/>
          <w:spacing w:val="1"/>
          <w:sz w:val="24"/>
          <w:szCs w:val="24"/>
          <w:lang w:val="az-Latn-AZ"/>
        </w:rPr>
        <w:t xml:space="preserve">bərabər istifadə olunan </w:t>
      </w:r>
      <w:r w:rsidRPr="009C2EF2">
        <w:rPr>
          <w:rFonts w:ascii="Times New Roman" w:hAnsi="Times New Roman"/>
          <w:i/>
          <w:color w:val="231F20"/>
          <w:spacing w:val="-1"/>
          <w:sz w:val="24"/>
          <w:szCs w:val="24"/>
          <w:lang w:val="az-Latn-AZ"/>
        </w:rPr>
        <w:t>aktivlərdir</w:t>
      </w:r>
      <w:r w:rsidRPr="009C2EF2">
        <w:rPr>
          <w:rFonts w:ascii="Times New Roman" w:hAnsi="Times New Roman"/>
          <w:color w:val="231F20"/>
          <w:spacing w:val="1"/>
          <w:sz w:val="24"/>
          <w:szCs w:val="24"/>
          <w:lang w:val="az-Latn-AZ"/>
        </w:rPr>
        <w:t xml:space="preserve">. Qiymətləndirilən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 xml:space="preserve">perspektivli pul axının yaradılmasında iştirak etməyən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köməkçi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pacing w:val="1"/>
          <w:sz w:val="24"/>
          <w:szCs w:val="24"/>
          <w:lang w:val="az-Latn-AZ"/>
        </w:rPr>
        <w:t xml:space="preserve"> hesab olunmur.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75026C" w:rsidP="001617F2">
      <w:pPr>
        <w:pStyle w:val="a3"/>
        <w:numPr>
          <w:ilvl w:val="1"/>
          <w:numId w:val="51"/>
        </w:numPr>
        <w:tabs>
          <w:tab w:val="left" w:pos="1531"/>
        </w:tabs>
        <w:kinsoku w:val="0"/>
        <w:overflowPunct w:val="0"/>
        <w:spacing w:line="250" w:lineRule="auto"/>
        <w:ind w:right="930"/>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0384" behindDoc="0" locked="0" layoutInCell="0" allowOverlap="1">
                <wp:simplePos x="0" y="0"/>
                <wp:positionH relativeFrom="page">
                  <wp:posOffset>151130</wp:posOffset>
                </wp:positionH>
                <wp:positionV relativeFrom="paragraph">
                  <wp:posOffset>258445</wp:posOffset>
                </wp:positionV>
                <wp:extent cx="152400" cy="2733675"/>
                <wp:effectExtent l="0" t="0" r="0" b="0"/>
                <wp:wrapNone/>
                <wp:docPr id="12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0" type="#_x0000_t202" style="position:absolute;left:0;text-align:left;margin-left:11.9pt;margin-top:20.35pt;width:12pt;height:215.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GrswIAALg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Izafi mənfəət metodu pul axınının bir neçə dövründən ("çox dövrlü izafi mənfəət metodu" və ya "MPEEM"), proqnozlaşdırılan pul axının vahid dövründən ("tək dövrlü izafi mənfəət metodu") istifadə etməklə və ya proqnozlaşdırılan pul axınlarının vahid dövrünü kapitallaşdırmaqla ("kapitallaşdırılmış izafi mənfəət metodu" və ya "formula metodu") tətbiq edilə bilər.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1"/>
          <w:numId w:val="51"/>
        </w:numPr>
        <w:tabs>
          <w:tab w:val="left" w:pos="1531"/>
        </w:tabs>
        <w:kinsoku w:val="0"/>
        <w:overflowPunct w:val="0"/>
        <w:spacing w:line="250" w:lineRule="auto"/>
        <w:ind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Kapitallaşdırılmış izafi mənfəət metodundan və ya formula metodundan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dəyişməz olaraq qaldığı halda, yəni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sabit artım/azalma dərəcəsinə, sabit mənfəət marjasına və müvafiq köməkçi aktivlərə malik olduğu halda yalnız istifadə oluna bilər.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1"/>
          <w:numId w:val="51"/>
        </w:numPr>
        <w:tabs>
          <w:tab w:val="left" w:pos="1531"/>
        </w:tabs>
        <w:kinsoku w:val="0"/>
        <w:overflowPunct w:val="0"/>
        <w:spacing w:line="250" w:lineRule="auto"/>
        <w:ind w:right="93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əksəriyyəti çox dövrlü olduğuna görə, eləcə də, xətti olmayan artım/azalma nümunələrini izlədiyi və zaman-zaman köməkçi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müxtəlif səviyyələrini tələb </w:t>
      </w:r>
      <w:r w:rsidRPr="009C2EF2">
        <w:rPr>
          <w:rFonts w:ascii="Times New Roman" w:hAnsi="Times New Roman"/>
          <w:i/>
          <w:color w:val="231F20"/>
          <w:spacing w:val="-1"/>
          <w:sz w:val="24"/>
          <w:szCs w:val="24"/>
          <w:lang w:val="az-Latn-AZ"/>
        </w:rPr>
        <w:t xml:space="preserve">etdiyinə </w:t>
      </w:r>
      <w:r w:rsidRPr="009C2EF2">
        <w:rPr>
          <w:rFonts w:ascii="Times New Roman" w:hAnsi="Times New Roman"/>
          <w:color w:val="231F20"/>
          <w:spacing w:val="1"/>
          <w:sz w:val="24"/>
          <w:szCs w:val="24"/>
          <w:lang w:val="az-Latn-AZ"/>
        </w:rPr>
        <w:t xml:space="preserve">görə, ən çox istifadə olunan izafi mənfəət metodu ən çevik metod hesab olunan və </w:t>
      </w:r>
      <w:r w:rsidRPr="009C2EF2">
        <w:rPr>
          <w:rFonts w:ascii="Times New Roman" w:hAnsi="Times New Roman"/>
          <w:i/>
          <w:color w:val="231F20"/>
          <w:sz w:val="24"/>
          <w:szCs w:val="24"/>
          <w:lang w:val="az-Latn-AZ"/>
        </w:rPr>
        <w:t xml:space="preserve">qiymətləndiricilərə </w:t>
      </w:r>
      <w:r w:rsidRPr="009C2EF2">
        <w:rPr>
          <w:rFonts w:ascii="Times New Roman" w:hAnsi="Times New Roman"/>
          <w:color w:val="231F20"/>
          <w:spacing w:val="1"/>
          <w:sz w:val="24"/>
          <w:szCs w:val="24"/>
          <w:lang w:val="az-Latn-AZ"/>
        </w:rPr>
        <w:t>bu kimi məlumatlarda ediləcək dəyişiklikləri göstərməyə imkan verən MPEEM metodu hesab olunur.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1"/>
          <w:numId w:val="51"/>
        </w:numPr>
        <w:tabs>
          <w:tab w:val="left" w:pos="1531"/>
        </w:tabs>
        <w:kinsoku w:val="0"/>
        <w:overflowPunct w:val="0"/>
        <w:spacing w:line="250" w:lineRule="auto"/>
        <w:ind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İzafi mənfəət metodunun tək dövrlü, çox dövrlü olmasından və ya kapitallaşdırılmış şəkildə tətbiq olunmasından asılı olmayaraq izafi mənfəət metodunun tətbiqi ilə bağlı əsas addımlara aş</w:t>
      </w:r>
      <w:r w:rsidR="001617F2" w:rsidRPr="009C2EF2">
        <w:rPr>
          <w:rFonts w:ascii="Times New Roman" w:hAnsi="Times New Roman"/>
          <w:color w:val="231F20"/>
          <w:sz w:val="24"/>
          <w:szCs w:val="24"/>
          <w:lang w:val="az-Latn-AZ"/>
        </w:rPr>
        <w:t>a</w:t>
      </w:r>
      <w:r w:rsidRPr="009C2EF2">
        <w:rPr>
          <w:rFonts w:ascii="Times New Roman" w:hAnsi="Times New Roman"/>
          <w:color w:val="231F20"/>
          <w:sz w:val="24"/>
          <w:szCs w:val="24"/>
          <w:lang w:val="az-Latn-AZ"/>
        </w:rPr>
        <w:t>ğıdakılar daxildir:</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2"/>
          <w:numId w:val="51"/>
        </w:numPr>
        <w:tabs>
          <w:tab w:val="left" w:pos="1815"/>
        </w:tabs>
        <w:kinsoku w:val="0"/>
        <w:overflowPunct w:val="0"/>
        <w:spacing w:line="250" w:lineRule="auto"/>
        <w:ind w:left="1814"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əlaqəli köməkçi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gətirəcəyi gəlirin miqdarı və vaxtının proqnozlaşdırılması,</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2"/>
          <w:numId w:val="51"/>
        </w:numPr>
        <w:tabs>
          <w:tab w:val="left" w:pos="1815"/>
        </w:tabs>
        <w:kinsoku w:val="0"/>
        <w:overflowPunct w:val="0"/>
        <w:spacing w:line="250" w:lineRule="auto"/>
        <w:ind w:left="1814"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z w:val="24"/>
          <w:szCs w:val="24"/>
          <w:lang w:val="az-Latn-AZ"/>
        </w:rPr>
        <w:t xml:space="preserve">və əlaqəli köməkçi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color w:val="231F20"/>
          <w:sz w:val="24"/>
          <w:szCs w:val="24"/>
          <w:lang w:val="az-Latn-AZ"/>
        </w:rPr>
        <w:t>gəlirin yaradılması üçün tələb olunan xərcin miqdarı və vaxtının proqnozlaşdırılması,</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2"/>
          <w:numId w:val="51"/>
        </w:numPr>
        <w:tabs>
          <w:tab w:val="left" w:pos="1815"/>
        </w:tabs>
        <w:kinsoku w:val="0"/>
        <w:overflowPunct w:val="0"/>
        <w:spacing w:line="250" w:lineRule="auto"/>
        <w:ind w:left="1814"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proqnozlaşdırılmış gəlir və ya xərcin yaradılması ilə bağlı tələb olunmayan yeni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yaradılması ilə əlaqədar çəkilmiş xərcləri çıxmaqla ümumi xərclərin tənzimlənməsi. İzafi mənfəət metodunda mənfəət marjası şirkətin ümumi mənfəət marjasından yüksək ola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çünki izafi mənfəət metodunda yeni 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bəziləri üzrə qoyulmuş investisiyalar nəzərə alınmır. Məsələn:</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3"/>
          <w:numId w:val="51"/>
        </w:numPr>
        <w:tabs>
          <w:tab w:val="left" w:pos="2098"/>
        </w:tabs>
        <w:kinsoku w:val="0"/>
        <w:overflowPunct w:val="0"/>
        <w:ind w:left="2097" w:right="930" w:hanging="28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yalnız mövcud texnologiyanın qiymətləndirilməsi zamanı</w:t>
      </w:r>
    </w:p>
    <w:p w:rsidR="00D02DD9" w:rsidRPr="009C2EF2" w:rsidRDefault="003C64E0" w:rsidP="001617F2">
      <w:pPr>
        <w:pStyle w:val="a3"/>
        <w:kinsoku w:val="0"/>
        <w:overflowPunct w:val="0"/>
        <w:spacing w:before="9" w:line="250" w:lineRule="auto"/>
        <w:ind w:left="2097" w:right="93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yeni texnologiyanın hazırlanması ilə bağlı tədqiqat və inkişaf xərcləri tələb olunmayacaq və</w:t>
      </w:r>
    </w:p>
    <w:p w:rsidR="00D02DD9" w:rsidRPr="009C2EF2" w:rsidRDefault="00D02DD9" w:rsidP="001617F2">
      <w:pPr>
        <w:pStyle w:val="a3"/>
        <w:kinsoku w:val="0"/>
        <w:overflowPunct w:val="0"/>
        <w:spacing w:before="9"/>
        <w:ind w:left="0" w:right="930"/>
        <w:jc w:val="both"/>
        <w:rPr>
          <w:rFonts w:ascii="Times New Roman" w:hAnsi="Times New Roman"/>
          <w:sz w:val="24"/>
          <w:szCs w:val="24"/>
          <w:lang w:val="az-Latn-AZ"/>
        </w:rPr>
      </w:pPr>
    </w:p>
    <w:p w:rsidR="00D02DD9" w:rsidRPr="009C2EF2" w:rsidRDefault="003C64E0" w:rsidP="001617F2">
      <w:pPr>
        <w:pStyle w:val="a3"/>
        <w:numPr>
          <w:ilvl w:val="3"/>
          <w:numId w:val="51"/>
        </w:numPr>
        <w:tabs>
          <w:tab w:val="left" w:pos="2098"/>
        </w:tabs>
        <w:kinsoku w:val="0"/>
        <w:overflowPunct w:val="0"/>
        <w:spacing w:line="250" w:lineRule="auto"/>
        <w:ind w:left="2097" w:right="930" w:hanging="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mövcud müştəri-yönümlü qeyri-maddi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qiymətləndirilməsi zamanı yeni müştərilərin əldə olunması ilə bağlı marketinq xərcləri tələb olunmayacaq.</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ind w:left="3125" w:right="3291"/>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62</w:t>
      </w:r>
    </w:p>
    <w:p w:rsidR="00D02DD9" w:rsidRPr="009C2EF2" w:rsidRDefault="00D02DD9">
      <w:pPr>
        <w:pStyle w:val="a3"/>
        <w:kinsoku w:val="0"/>
        <w:overflowPunct w:val="0"/>
        <w:ind w:left="3125" w:right="3291"/>
        <w:jc w:val="center"/>
        <w:rPr>
          <w:rFonts w:ascii="Times New Roman" w:hAnsi="Times New Roman"/>
          <w:color w:val="000000"/>
          <w:sz w:val="24"/>
          <w:szCs w:val="24"/>
          <w:lang w:val="az-Latn-AZ"/>
        </w:rPr>
        <w:sectPr w:rsidR="00D02DD9" w:rsidRPr="009C2EF2">
          <w:footerReference w:type="default" r:id="rId6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019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2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3EF7BB" id="Freeform 143" o:spid="_x0000_s1026" style="position:absolute;margin-left:408.15pt;margin-top:0;width:34pt;height:663.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VE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VRq1RH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2"/>
          <w:numId w:val="51"/>
        </w:numPr>
        <w:tabs>
          <w:tab w:val="left" w:pos="965"/>
        </w:tabs>
        <w:kinsoku w:val="0"/>
        <w:overflowPunct w:val="0"/>
        <w:spacing w:before="77" w:line="250" w:lineRule="auto"/>
        <w:ind w:left="964"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proqnozlaşdırılan gəlir və xərclərin əldə olunması üçün tələb olunan köməkçi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müəyyənləşdirilməsi. Köməkçi </w:t>
      </w:r>
      <w:r w:rsidRPr="009C2EF2">
        <w:rPr>
          <w:rFonts w:ascii="Times New Roman" w:hAnsi="Times New Roman"/>
          <w:i/>
          <w:color w:val="231F20"/>
          <w:sz w:val="24"/>
          <w:szCs w:val="24"/>
          <w:lang w:val="az-Latn-AZ"/>
        </w:rPr>
        <w:t>aktivlərə</w:t>
      </w:r>
      <w:r w:rsidRPr="009C2EF2">
        <w:rPr>
          <w:rFonts w:ascii="Times New Roman" w:hAnsi="Times New Roman"/>
          <w:color w:val="231F20"/>
          <w:spacing w:val="1"/>
          <w:sz w:val="24"/>
          <w:szCs w:val="24"/>
          <w:lang w:val="az-Latn-AZ"/>
        </w:rPr>
        <w:t xml:space="preserve">, əsasən, dövriyyə kapitalı, əsas </w:t>
      </w:r>
      <w:r w:rsidRPr="009C2EF2">
        <w:rPr>
          <w:rFonts w:ascii="Times New Roman" w:hAnsi="Times New Roman"/>
          <w:i/>
          <w:color w:val="231F20"/>
          <w:spacing w:val="-1"/>
          <w:sz w:val="24"/>
          <w:szCs w:val="24"/>
          <w:lang w:val="az-Latn-AZ"/>
        </w:rPr>
        <w:t>vəsaitlər</w:t>
      </w:r>
      <w:r w:rsidRPr="009C2EF2">
        <w:rPr>
          <w:rFonts w:ascii="Times New Roman" w:hAnsi="Times New Roman"/>
          <w:color w:val="231F20"/>
          <w:spacing w:val="1"/>
          <w:sz w:val="24"/>
          <w:szCs w:val="24"/>
          <w:lang w:val="az-Latn-AZ"/>
        </w:rPr>
        <w:t xml:space="preserve">, yığılmış işçi qüvvəsi və qiymətləndirilən qeyri-maddi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pacing w:val="1"/>
          <w:sz w:val="24"/>
          <w:szCs w:val="24"/>
          <w:lang w:val="az-Latn-AZ"/>
        </w:rPr>
        <w:t xml:space="preserve">başqa müəyyənləşdirilmiş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köməkçi </w:t>
      </w:r>
      <w:r w:rsidRPr="009C2EF2">
        <w:rPr>
          <w:rFonts w:ascii="Times New Roman" w:hAnsi="Times New Roman"/>
          <w:i/>
          <w:color w:val="231F20"/>
          <w:spacing w:val="-1"/>
          <w:sz w:val="24"/>
          <w:szCs w:val="24"/>
          <w:lang w:val="az-Latn-AZ"/>
        </w:rPr>
        <w:t xml:space="preserve">aktivlərlə </w:t>
      </w:r>
      <w:r w:rsidRPr="009C2EF2">
        <w:rPr>
          <w:rFonts w:ascii="Times New Roman" w:hAnsi="Times New Roman"/>
          <w:color w:val="231F20"/>
          <w:sz w:val="24"/>
          <w:szCs w:val="24"/>
          <w:lang w:val="az-Latn-AZ"/>
        </w:rPr>
        <w:t xml:space="preserve">bağlı risk qiymətləndirilməsinə əsaslanan hər bir köməkçi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gəlirlilik faizinin müəyyənləşdirilməsi. Məsələn, dövriyyə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z w:val="24"/>
          <w:szCs w:val="24"/>
          <w:lang w:val="az-Latn-AZ"/>
        </w:rPr>
        <w:t xml:space="preserve">kimi aşağı riskli aktivlərdə nisbətən daha aşağı gəlirlilik müşahidə olunacaq. Köməkçi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və yüksək səviyyəli maşın və qurğular, adətən, daha yüksək gəlir</w:t>
      </w:r>
      <w:r w:rsidR="001617F2" w:rsidRPr="009C2EF2">
        <w:rPr>
          <w:rFonts w:ascii="Times New Roman" w:hAnsi="Times New Roman"/>
          <w:color w:val="231F20"/>
          <w:sz w:val="24"/>
          <w:szCs w:val="24"/>
          <w:lang w:val="az-Latn-AZ"/>
        </w:rPr>
        <w:t>l</w:t>
      </w:r>
      <w:r w:rsidRPr="009C2EF2">
        <w:rPr>
          <w:rFonts w:ascii="Times New Roman" w:hAnsi="Times New Roman"/>
          <w:color w:val="231F20"/>
          <w:sz w:val="24"/>
          <w:szCs w:val="24"/>
          <w:lang w:val="az-Latn-AZ"/>
        </w:rPr>
        <w:t>ilik faizi ilə xarakterizə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48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proqnozlaşdırılmış dövrlərin hər birində, yalnız qiymətləndirilən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 xml:space="preserve">aid izafi dəyəri almaq üçün proqnozlaşdırılmış mənfəətdən köməkçi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üzrə tələb olunan gəlirin çıxılması,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 xml:space="preserve"> ilə bağlı müvafiq diskont faiz dərəcəsinin müəyyənləşdirilməsi</w:t>
      </w:r>
    </w:p>
    <w:p w:rsidR="00D02DD9" w:rsidRPr="009C2EF2" w:rsidRDefault="0075026C">
      <w:pPr>
        <w:pStyle w:val="a3"/>
        <w:kinsoku w:val="0"/>
        <w:overflowPunct w:val="0"/>
        <w:spacing w:before="9"/>
        <w:ind w:left="964"/>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01408" behindDoc="0" locked="0" layoutInCell="0" allowOverlap="1">
                <wp:simplePos x="0" y="0"/>
                <wp:positionH relativeFrom="page">
                  <wp:posOffset>5276215</wp:posOffset>
                </wp:positionH>
                <wp:positionV relativeFrom="paragraph">
                  <wp:posOffset>90805</wp:posOffset>
                </wp:positionV>
                <wp:extent cx="152400" cy="2733675"/>
                <wp:effectExtent l="0" t="0" r="0" b="0"/>
                <wp:wrapNone/>
                <wp:docPr id="12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1" type="#_x0000_t202" style="position:absolute;left:0;text-align:left;margin-left:415.45pt;margin-top:7.15pt;width:12pt;height:215.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k6sAIAALU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dəyərin göstərilməsi və ya izafi mənfəətin kapitallaşdırılması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 məqsədinə</w:t>
      </w:r>
      <w:r w:rsidRPr="009C2EF2">
        <w:rPr>
          <w:rFonts w:ascii="Times New Roman" w:hAnsi="Times New Roman"/>
          <w:color w:val="231F20"/>
          <w:sz w:val="24"/>
          <w:szCs w:val="24"/>
          <w:lang w:val="az-Latn-AZ"/>
        </w:rPr>
        <w:t xml:space="preserve"> uyğun gəldiyi təqdirdə (110.1-110.4 bəndlərinə baxın) qiymətləndirilən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 üzrə vergi amortizasiya faydasının hesablanması və əlavə olunması.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Pul axınının yaranmasında iştirak edən cari və gələcək maddi və qeyri-maddi, eləcə də, maliyyə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 xml:space="preserve">üzrə köməkçi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öhdəlikləri (CACs) müəyyən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pacing w:val="1"/>
          <w:sz w:val="24"/>
          <w:szCs w:val="24"/>
          <w:lang w:val="az-Latn-AZ"/>
        </w:rPr>
        <w:t xml:space="preserve">, CAC-in tələb olunduğu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müəssisənin birdən çox sahəsində iştirak edərsə, onda həmin öhdəliklər müəssisənin müxtəlif sahələri üzrə </w:t>
      </w:r>
      <w:r w:rsidRPr="009C2EF2">
        <w:rPr>
          <w:rFonts w:ascii="Times New Roman" w:hAnsi="Times New Roman"/>
          <w:i/>
          <w:color w:val="231F20"/>
          <w:spacing w:val="1"/>
          <w:sz w:val="24"/>
          <w:szCs w:val="24"/>
          <w:lang w:val="az-Latn-AZ"/>
        </w:rPr>
        <w:t>bölüşdürülməlidir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Qudvilin elementləri üzrə CAC-ın uyğun gəlib-gəlməməsi müvafiq faktların və vəziyyətlərin qiymətləndirilməsi ilə </w:t>
      </w:r>
      <w:r w:rsidRPr="009C2EF2">
        <w:rPr>
          <w:rFonts w:ascii="Times New Roman" w:hAnsi="Times New Roman"/>
          <w:color w:val="231F20"/>
          <w:sz w:val="24"/>
          <w:szCs w:val="24"/>
          <w:lang w:val="az-Latn-AZ"/>
        </w:rPr>
        <w:lastRenderedPageBreak/>
        <w:t xml:space="preserve">müəyyən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z w:val="24"/>
          <w:szCs w:val="24"/>
          <w:lang w:val="az-Latn-AZ"/>
        </w:rPr>
        <w:t xml:space="preserve">, əgər vəziyyət belə bir öhdəliyə uyğun hesab olunmazsa onda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qudvilin elementlərinə CAC-ləri və ya alternativ tənzimləmələri tətbiq etməməlidirlər. Yığılmış işçi qüvvəsi ölçülə bildiyinə görə CAC-ın nəzərə </w:t>
      </w:r>
      <w:r w:rsidRPr="009C2EF2">
        <w:rPr>
          <w:rFonts w:ascii="Times New Roman" w:hAnsi="Times New Roman"/>
          <w:i/>
          <w:color w:val="231F20"/>
          <w:spacing w:val="1"/>
          <w:sz w:val="24"/>
          <w:szCs w:val="24"/>
          <w:lang w:val="az-Latn-AZ"/>
        </w:rPr>
        <w:t xml:space="preserve">alınmalı </w:t>
      </w:r>
      <w:r w:rsidRPr="009C2EF2">
        <w:rPr>
          <w:rFonts w:ascii="Times New Roman" w:hAnsi="Times New Roman"/>
          <w:color w:val="231F20"/>
          <w:sz w:val="24"/>
          <w:szCs w:val="24"/>
          <w:lang w:val="az-Latn-AZ"/>
        </w:rPr>
        <w:t>olduğu qudvilin yeganə elementi hesab olunur. Buna uyğun olaraq qiymətləndiricilər onların yığılmış işçi qüvvəsindən başqa qudvilin digər elementləri üzrə CAC-lərin tə</w:t>
      </w:r>
      <w:r w:rsidR="001617F2" w:rsidRPr="009C2EF2">
        <w:rPr>
          <w:rFonts w:ascii="Times New Roman" w:hAnsi="Times New Roman"/>
          <w:color w:val="231F20"/>
          <w:sz w:val="24"/>
          <w:szCs w:val="24"/>
          <w:lang w:val="az-Latn-AZ"/>
        </w:rPr>
        <w:t>t</w:t>
      </w:r>
      <w:r w:rsidRPr="009C2EF2">
        <w:rPr>
          <w:rFonts w:ascii="Times New Roman" w:hAnsi="Times New Roman"/>
          <w:color w:val="231F20"/>
          <w:sz w:val="24"/>
          <w:szCs w:val="24"/>
          <w:lang w:val="az-Latn-AZ"/>
        </w:rPr>
        <w:t xml:space="preserve">biq olunması ilə bağlı güclü əsaslarının olduğundan əmin </w:t>
      </w:r>
      <w:r w:rsidRPr="009C2EF2">
        <w:rPr>
          <w:rFonts w:ascii="Times New Roman" w:hAnsi="Times New Roman"/>
          <w:i/>
          <w:color w:val="231F20"/>
          <w:sz w:val="24"/>
          <w:szCs w:val="24"/>
          <w:lang w:val="az-Latn-AZ"/>
        </w:rPr>
        <w:t>olmalıdırlar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1"/>
          <w:numId w:val="51"/>
        </w:numPr>
        <w:tabs>
          <w:tab w:val="left" w:pos="681"/>
        </w:tabs>
        <w:kinsoku w:val="0"/>
        <w:overflowPunct w:val="0"/>
        <w:spacing w:before="9" w:line="250" w:lineRule="auto"/>
        <w:ind w:left="680"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CAC-lər, əsasən, köməkçi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pacing w:val="-1"/>
          <w:sz w:val="24"/>
          <w:szCs w:val="24"/>
          <w:lang w:val="az-Latn-AZ"/>
        </w:rPr>
        <w:t>dəyəri üzrə ədalətli gəlir kimi vergi sonrası baza əsasında hesablanır</w:t>
      </w:r>
      <w:r w:rsidR="001617F2" w:rsidRPr="009C2EF2">
        <w:rPr>
          <w:rFonts w:ascii="Times New Roman" w:hAnsi="Times New Roman"/>
          <w:color w:val="231F20"/>
          <w:spacing w:val="-1"/>
          <w:sz w:val="24"/>
          <w:szCs w:val="24"/>
          <w:lang w:val="az-Latn-AZ"/>
        </w:rPr>
        <w:t xml:space="preserve"> </w:t>
      </w:r>
      <w:r w:rsidRPr="009C2EF2">
        <w:rPr>
          <w:rFonts w:ascii="Times New Roman" w:hAnsi="Times New Roman"/>
          <w:color w:val="231F20"/>
          <w:spacing w:val="1"/>
          <w:sz w:val="24"/>
          <w:szCs w:val="24"/>
          <w:lang w:val="az-Latn-AZ"/>
        </w:rPr>
        <w:t xml:space="preserve">və bəzi hallarda isə köməkçi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gəliri çıxılır. Köməkçi</w:t>
      </w:r>
      <w:r w:rsidR="001617F2"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üzrə müvafiq gəlir hər bir </w:t>
      </w:r>
      <w:r w:rsidRPr="009C2EF2">
        <w:rPr>
          <w:rFonts w:ascii="Times New Roman" w:hAnsi="Times New Roman"/>
          <w:i/>
          <w:color w:val="231F20"/>
          <w:spacing w:val="1"/>
          <w:sz w:val="24"/>
          <w:szCs w:val="24"/>
          <w:lang w:val="az-Latn-AZ"/>
        </w:rPr>
        <w:t>iştirakçının</w:t>
      </w:r>
      <w:r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üzrə tələb edəcəyi investisiya gəliridir. Köməkçi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üzrə gəlir</w:t>
      </w:r>
      <w:r w:rsidR="001617F2"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pacing w:val="-1"/>
          <w:sz w:val="24"/>
          <w:szCs w:val="24"/>
          <w:lang w:val="az-Latn-AZ"/>
        </w:rPr>
        <w:t xml:space="preserve">üzrə yatırılmış investisiyanın ödənilməsidir. CAC-lərin vergi-öncəsi və ya vergi sonrası bazaları əsasında qiymətləndirilməsindən asılı olmayaraq dəyərdə fərq </w:t>
      </w:r>
      <w:r w:rsidRPr="009C2EF2">
        <w:rPr>
          <w:rFonts w:ascii="Times New Roman" w:hAnsi="Times New Roman"/>
          <w:i/>
          <w:color w:val="231F20"/>
          <w:spacing w:val="1"/>
          <w:sz w:val="24"/>
          <w:szCs w:val="24"/>
          <w:lang w:val="az-Latn-AZ"/>
        </w:rPr>
        <w:t>olmamalıdır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Köməkçi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dövriyyə kapitalı kimi tükənən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deyilsə onda yalnız aktiv üzrə ədalətli gəlir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Royaltidən azad olma metodu əsasında qiymətləndirilmiş köməkçi qeyri-maddi </w:t>
      </w:r>
      <w:r w:rsidRPr="009C2EF2">
        <w:rPr>
          <w:rFonts w:ascii="Times New Roman" w:hAnsi="Times New Roman"/>
          <w:i/>
          <w:color w:val="231F20"/>
          <w:sz w:val="24"/>
          <w:szCs w:val="24"/>
          <w:lang w:val="az-Latn-AZ"/>
        </w:rPr>
        <w:t xml:space="preserve">aktivlərdə </w:t>
      </w:r>
      <w:r w:rsidRPr="009C2EF2">
        <w:rPr>
          <w:rFonts w:ascii="Times New Roman" w:hAnsi="Times New Roman"/>
          <w:color w:val="231F20"/>
          <w:spacing w:val="-1"/>
          <w:sz w:val="24"/>
          <w:szCs w:val="24"/>
          <w:lang w:val="az-Latn-AZ"/>
        </w:rPr>
        <w:t xml:space="preserve">CAC royaltiyə bərabər </w:t>
      </w:r>
      <w:r w:rsidRPr="009C2EF2">
        <w:rPr>
          <w:rFonts w:ascii="Times New Roman" w:hAnsi="Times New Roman"/>
          <w:i/>
          <w:color w:val="231F20"/>
          <w:spacing w:val="1"/>
          <w:sz w:val="24"/>
          <w:szCs w:val="24"/>
          <w:lang w:val="az-Latn-AZ"/>
        </w:rPr>
        <w:t>olmalıdır</w:t>
      </w:r>
      <w:r w:rsidRPr="009C2EF2">
        <w:rPr>
          <w:rFonts w:ascii="Times New Roman" w:hAnsi="Times New Roman"/>
          <w:color w:val="231F20"/>
          <w:spacing w:val="-1"/>
          <w:sz w:val="24"/>
          <w:szCs w:val="24"/>
          <w:lang w:val="az-Latn-AZ"/>
        </w:rPr>
        <w:t xml:space="preserve"> (vergi sonrası royalti dərəcəsinə uyğunlaşdırılmalıdır).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63</w:t>
      </w:r>
    </w:p>
    <w:p w:rsidR="00D02DD9" w:rsidRPr="009C2EF2" w:rsidRDefault="00D02DD9">
      <w:pPr>
        <w:pStyle w:val="a3"/>
        <w:kinsoku w:val="0"/>
        <w:overflowPunct w:val="0"/>
        <w:spacing w:before="80"/>
        <w:ind w:left="2878" w:right="3722"/>
        <w:jc w:val="center"/>
        <w:rPr>
          <w:rFonts w:ascii="Times New Roman" w:hAnsi="Times New Roman"/>
          <w:color w:val="000000"/>
          <w:sz w:val="24"/>
          <w:szCs w:val="24"/>
          <w:lang w:val="az-Latn-AZ"/>
        </w:rPr>
        <w:sectPr w:rsidR="00D02DD9" w:rsidRPr="009C2EF2">
          <w:footerReference w:type="default" r:id="rId6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1216" behindDoc="1" locked="0" layoutInCell="0" allowOverlap="1">
                <wp:simplePos x="0" y="0"/>
                <wp:positionH relativeFrom="page">
                  <wp:posOffset>0</wp:posOffset>
                </wp:positionH>
                <wp:positionV relativeFrom="page">
                  <wp:posOffset>0</wp:posOffset>
                </wp:positionV>
                <wp:extent cx="432435" cy="8424545"/>
                <wp:effectExtent l="0" t="0" r="0" b="0"/>
                <wp:wrapNone/>
                <wp:docPr id="12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4D7493" id="Freeform 145" o:spid="_x0000_s1026" style="position:absolute;margin-left:0;margin-top:0;width:34.05pt;height:663.3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CFMRYBiAwAAhg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rsidP="00A51157">
      <w:pPr>
        <w:pStyle w:val="a3"/>
        <w:numPr>
          <w:ilvl w:val="1"/>
          <w:numId w:val="51"/>
        </w:numPr>
        <w:tabs>
          <w:tab w:val="left" w:pos="1531"/>
        </w:tabs>
        <w:kinsoku w:val="0"/>
        <w:overflowPunct w:val="0"/>
        <w:spacing w:before="77" w:line="250" w:lineRule="auto"/>
        <w:ind w:right="12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Izafi mənfəət metodu verilmiş mənfəət və gəlir axını üzrə yalnız vahid qeyri-maddi </w:t>
      </w:r>
      <w:r w:rsidRPr="009C2EF2">
        <w:rPr>
          <w:rFonts w:ascii="Times New Roman" w:hAnsi="Times New Roman"/>
          <w:i/>
          <w:color w:val="231F20"/>
          <w:sz w:val="24"/>
          <w:szCs w:val="24"/>
          <w:lang w:val="az-Latn-AZ"/>
        </w:rPr>
        <w:t xml:space="preserve">aktivə </w:t>
      </w:r>
      <w:r w:rsidRPr="009C2EF2">
        <w:rPr>
          <w:rFonts w:ascii="Times New Roman" w:hAnsi="Times New Roman"/>
          <w:color w:val="231F20"/>
          <w:sz w:val="24"/>
          <w:szCs w:val="24"/>
          <w:lang w:val="az-Latn-AZ"/>
        </w:rPr>
        <w:t xml:space="preserve">tətbiq </w:t>
      </w:r>
      <w:r w:rsidRPr="009C2EF2">
        <w:rPr>
          <w:rFonts w:ascii="Times New Roman" w:hAnsi="Times New Roman"/>
          <w:i/>
          <w:color w:val="231F20"/>
          <w:spacing w:val="1"/>
          <w:sz w:val="24"/>
          <w:szCs w:val="24"/>
          <w:lang w:val="az-Latn-AZ"/>
        </w:rPr>
        <w:t>olunmalıdır</w:t>
      </w:r>
      <w:r w:rsidRPr="009C2EF2">
        <w:rPr>
          <w:rFonts w:ascii="Times New Roman" w:hAnsi="Times New Roman"/>
          <w:color w:val="231F20"/>
          <w:sz w:val="24"/>
          <w:szCs w:val="24"/>
          <w:lang w:val="az-Latn-AZ"/>
        </w:rPr>
        <w:t xml:space="preserve"> (əsas və ya ən vacib qeyri-maddi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 Məsələn, məhsul və ya xidmətin</w:t>
      </w:r>
      <w:r w:rsidR="001617F2"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çatdırılması zamanı texnologiya və ticarət adlarından istifadə edın şirkətin </w:t>
      </w:r>
      <w:r w:rsidRPr="009C2EF2">
        <w:rPr>
          <w:rFonts w:ascii="Times New Roman" w:hAnsi="Times New Roman"/>
          <w:i/>
          <w:color w:val="231F20"/>
          <w:spacing w:val="-1"/>
          <w:sz w:val="24"/>
          <w:szCs w:val="24"/>
          <w:lang w:val="az-Latn-AZ"/>
        </w:rPr>
        <w:t>qeyri-maddi</w:t>
      </w:r>
      <w:r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aktivlərini </w:t>
      </w:r>
      <w:r w:rsidRPr="009C2EF2">
        <w:rPr>
          <w:rFonts w:ascii="Times New Roman" w:hAnsi="Times New Roman"/>
          <w:color w:val="231F20"/>
          <w:sz w:val="24"/>
          <w:szCs w:val="24"/>
          <w:lang w:val="az-Latn-AZ"/>
        </w:rPr>
        <w:t>qiymətləndirmək üçün (tex</w:t>
      </w:r>
      <w:r w:rsidR="001617F2" w:rsidRPr="009C2EF2">
        <w:rPr>
          <w:rFonts w:ascii="Times New Roman" w:hAnsi="Times New Roman"/>
          <w:color w:val="231F20"/>
          <w:sz w:val="24"/>
          <w:szCs w:val="24"/>
          <w:lang w:val="az-Latn-AZ"/>
        </w:rPr>
        <w:t xml:space="preserve">nologiya və ticarət adı ilə </w:t>
      </w:r>
      <w:r w:rsidRPr="009C2EF2">
        <w:rPr>
          <w:rFonts w:ascii="Times New Roman" w:hAnsi="Times New Roman"/>
          <w:color w:val="231F20"/>
          <w:sz w:val="24"/>
          <w:szCs w:val="24"/>
          <w:lang w:val="az-Latn-AZ"/>
        </w:rPr>
        <w:t xml:space="preserve">bağlı mənfəət eynidir) yalnız izafi mənfəət metodundan, digər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üçün isə alternativ metoddan </w:t>
      </w:r>
      <w:r w:rsidRPr="009C2EF2">
        <w:rPr>
          <w:rFonts w:ascii="Times New Roman" w:hAnsi="Times New Roman"/>
          <w:i/>
          <w:color w:val="231F20"/>
          <w:spacing w:val="1"/>
          <w:sz w:val="24"/>
          <w:szCs w:val="24"/>
          <w:lang w:val="az-Latn-AZ"/>
        </w:rPr>
        <w:t>istifadə olunmalıdır</w:t>
      </w:r>
      <w:r w:rsidRPr="009C2EF2">
        <w:rPr>
          <w:rFonts w:ascii="Times New Roman" w:hAnsi="Times New Roman"/>
          <w:color w:val="231F20"/>
          <w:sz w:val="24"/>
          <w:szCs w:val="24"/>
          <w:lang w:val="az-Latn-AZ"/>
        </w:rPr>
        <w:t xml:space="preserve">. Lakin, şirkət hər birində ayrı-ayrı texnologiyadan istifadə olunan və hər biri fərqli mənfəət və gəlir yaradan çoxsaylı məhsul xəttinə malik olarsa çoxsaylı müxtəlif texnologiyaların qiymətləndirilməsində izafi mənfəət metodunu tətbiq etmək </w:t>
      </w:r>
      <w:r w:rsidRPr="009C2EF2">
        <w:rPr>
          <w:rFonts w:ascii="Times New Roman" w:hAnsi="Times New Roman"/>
          <w:i/>
          <w:color w:val="231F20"/>
          <w:spacing w:val="-1"/>
          <w:sz w:val="24"/>
          <w:szCs w:val="24"/>
          <w:lang w:val="az-Latn-AZ"/>
        </w:rPr>
        <w:t>olar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Royaltidən Azad olma Metodu</w:t>
      </w:r>
    </w:p>
    <w:p w:rsidR="00D02DD9" w:rsidRPr="009C2EF2" w:rsidRDefault="0075026C">
      <w:pPr>
        <w:pStyle w:val="a3"/>
        <w:numPr>
          <w:ilvl w:val="1"/>
          <w:numId w:val="51"/>
        </w:numPr>
        <w:tabs>
          <w:tab w:val="left" w:pos="1531"/>
        </w:tabs>
        <w:kinsoku w:val="0"/>
        <w:overflowPunct w:val="0"/>
        <w:spacing w:before="122" w:line="250" w:lineRule="auto"/>
        <w:ind w:right="1362"/>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02432" behindDoc="0" locked="0" layoutInCell="0" allowOverlap="1">
                <wp:simplePos x="0" y="0"/>
                <wp:positionH relativeFrom="page">
                  <wp:posOffset>151130</wp:posOffset>
                </wp:positionH>
                <wp:positionV relativeFrom="paragraph">
                  <wp:posOffset>581025</wp:posOffset>
                </wp:positionV>
                <wp:extent cx="152400" cy="2733675"/>
                <wp:effectExtent l="0" t="0" r="0" b="0"/>
                <wp:wrapNone/>
                <wp:docPr id="1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2" type="#_x0000_t202" style="position:absolute;left:0;text-align:left;margin-left:11.9pt;margin-top:45.75pt;width:12pt;height:215.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Royaltidən azad olma metoduna əsasən,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dəyəri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üçüncü tərəfdən icarəyə götürülməsi ilə müqayisədə </w:t>
      </w:r>
      <w:r w:rsidR="003C64E0" w:rsidRPr="009C2EF2">
        <w:rPr>
          <w:rFonts w:ascii="Times New Roman" w:hAnsi="Times New Roman"/>
          <w:i/>
          <w:color w:val="231F20"/>
          <w:spacing w:val="-1"/>
          <w:sz w:val="24"/>
          <w:szCs w:val="24"/>
          <w:lang w:val="az-Latn-AZ"/>
        </w:rPr>
        <w:t xml:space="preserve">aktivə </w:t>
      </w:r>
      <w:r w:rsidR="003C64E0" w:rsidRPr="009C2EF2">
        <w:rPr>
          <w:rFonts w:ascii="Times New Roman" w:hAnsi="Times New Roman"/>
          <w:color w:val="231F20"/>
          <w:sz w:val="24"/>
          <w:szCs w:val="24"/>
          <w:lang w:val="az-Latn-AZ"/>
        </w:rPr>
        <w:t xml:space="preserve">sahib olmaq yolu ilə qənaət edilmiş hipotetik royalti ödənişlərinin dəyəri əsasında müəyyən edilir. Prinsipcə, bu metod qeyri-maddi </w:t>
      </w:r>
      <w:r w:rsidR="003C64E0" w:rsidRPr="009C2EF2">
        <w:rPr>
          <w:rFonts w:ascii="Times New Roman" w:hAnsi="Times New Roman"/>
          <w:i/>
          <w:color w:val="231F20"/>
          <w:spacing w:val="-2"/>
          <w:sz w:val="24"/>
          <w:szCs w:val="24"/>
          <w:lang w:val="az-Latn-AZ"/>
        </w:rPr>
        <w:t>aktivlərin</w:t>
      </w:r>
    </w:p>
    <w:p w:rsidR="00D02DD9" w:rsidRPr="009C2EF2" w:rsidRDefault="003C64E0">
      <w:pPr>
        <w:pStyle w:val="a3"/>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sahibinin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icarəsindən qəbul edəcəyi pul axınına tətbiq edilən diskontlaşdırılmış pul axını kimi qiymətləndirilə </w:t>
      </w:r>
      <w:r w:rsidRPr="009C2EF2">
        <w:rPr>
          <w:rFonts w:ascii="Times New Roman" w:hAnsi="Times New Roman"/>
          <w:i/>
          <w:color w:val="231F20"/>
          <w:sz w:val="24"/>
          <w:szCs w:val="24"/>
          <w:lang w:val="az-Latn-AZ"/>
        </w:rPr>
        <w:t>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z w:val="24"/>
          <w:szCs w:val="24"/>
          <w:lang w:val="az-Latn-AZ"/>
        </w:rPr>
        <w:t>Royaltidən azad olma metodunun əsas addımlarına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125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faydalı istifadə müddəti üzrə qiymətləndirilən qeyri-maddi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ilə bağlı proqnozların verilməsi. Əksər royaltilər gəlirin faizi şəklində ödənildiyinə görə proqnozlaşdırılan ən əsas göstərici</w:t>
      </w:r>
      <w:r w:rsidR="001617F2"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gəlirdir. Lakin, vahid üzrə royalti kimi digər göstəricilər də müəyyən qiymətləndirmələrin aparılmasında tətbiq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1235"/>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qiymətləndirlən qeyri-maddi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üzrə royalti dərəcəsinin artırılması.  Hipotetik royalti dərəcəsinin əldə olunması üçün iki metod təklif olunur. Birinci metod müqayisə edilə bilən əməliyyatlar və ya oxşar əməliyyatlar üzrə bazarın royalti </w:t>
      </w:r>
      <w:r w:rsidRPr="009C2EF2">
        <w:rPr>
          <w:rFonts w:ascii="Times New Roman" w:hAnsi="Times New Roman"/>
          <w:color w:val="231F20"/>
          <w:sz w:val="24"/>
          <w:szCs w:val="24"/>
          <w:lang w:val="az-Latn-AZ"/>
        </w:rPr>
        <w:lastRenderedPageBreak/>
        <w:t>dərəcəsinə əsaslanır. Bu metodun ilkin şərtlərindən biri</w:t>
      </w:r>
      <w:r w:rsidR="001617F2" w:rsidRPr="009C2EF2">
        <w:rPr>
          <w:rFonts w:ascii="Times New Roman" w:hAnsi="Times New Roman"/>
          <w:color w:val="231F20"/>
          <w:sz w:val="24"/>
          <w:szCs w:val="24"/>
          <w:lang w:val="az-Latn-AZ"/>
        </w:rPr>
        <w:t xml:space="preserve"> uzun</w:t>
      </w:r>
      <w:r w:rsidRPr="009C2EF2">
        <w:rPr>
          <w:rFonts w:ascii="Times New Roman" w:hAnsi="Times New Roman"/>
          <w:color w:val="231F20"/>
          <w:sz w:val="24"/>
          <w:szCs w:val="24"/>
          <w:lang w:val="az-Latn-AZ"/>
        </w:rPr>
        <w:t xml:space="preserve">müddətli lisenziyalaşdırılan müqayisə edilə bilən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mövcud olmasıdır. Ikinci metod qiymətləndirilən qeyri-maddi </w:t>
      </w:r>
      <w:r w:rsidRPr="009C2EF2">
        <w:rPr>
          <w:rFonts w:ascii="Times New Roman" w:hAnsi="Times New Roman"/>
          <w:i/>
          <w:color w:val="231F20"/>
          <w:spacing w:val="-1"/>
          <w:sz w:val="24"/>
          <w:szCs w:val="24"/>
          <w:lang w:val="az-Latn-AZ"/>
        </w:rPr>
        <w:t xml:space="preserve">aktivdən </w:t>
      </w:r>
      <w:r w:rsidRPr="009C2EF2">
        <w:rPr>
          <w:rFonts w:ascii="Times New Roman" w:hAnsi="Times New Roman"/>
          <w:color w:val="231F20"/>
          <w:sz w:val="24"/>
          <w:szCs w:val="24"/>
          <w:lang w:val="az-Latn-AZ"/>
        </w:rPr>
        <w:t>istifadə etmək hüququ almaq üçün maraqlı lisenziat tərəfindən maraqlı lisenziara sövdələşmə əsasında hipotetik olaraq ödəniləcək mənfəətin bölüşdürülməsinə əsaslanır.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 xml:space="preserve">aktivə </w:t>
      </w:r>
      <w:r w:rsidRPr="009C2EF2">
        <w:rPr>
          <w:rFonts w:ascii="Times New Roman" w:hAnsi="Times New Roman"/>
          <w:color w:val="231F20"/>
          <w:sz w:val="24"/>
          <w:szCs w:val="24"/>
          <w:lang w:val="az-Latn-AZ"/>
        </w:rPr>
        <w:t>sahib olmaqla kənarlaşdırılan royalti ödənişlərini hesablamaq üçün proqnoz</w:t>
      </w:r>
      <w:r w:rsidR="001617F2" w:rsidRPr="009C2EF2">
        <w:rPr>
          <w:rFonts w:ascii="Times New Roman" w:hAnsi="Times New Roman"/>
          <w:color w:val="231F20"/>
          <w:sz w:val="24"/>
          <w:szCs w:val="24"/>
          <w:lang w:val="az-Latn-AZ"/>
        </w:rPr>
        <w:t>lara müəyyən edilmiş royalti dər</w:t>
      </w:r>
      <w:r w:rsidRPr="009C2EF2">
        <w:rPr>
          <w:rFonts w:ascii="Times New Roman" w:hAnsi="Times New Roman"/>
          <w:color w:val="231F20"/>
          <w:sz w:val="24"/>
          <w:szCs w:val="24"/>
          <w:lang w:val="az-Latn-AZ"/>
        </w:rPr>
        <w:t>əcəsinin tətbiqi,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lisenziatının üzərinə düşən əlavə xərclərin hesablanması. Bura bəzi lisenziarların tələb etdiyi avans ödənişlər daxil ola bilər. Royalti dərəcəsi xərclərin (məsələn, istismar xərcləri, marketinq və reklam xərcləri) lisenziara yoxsa  lisenziata aid olduğunu müəyyənləşdirmək üçün təhlil </w:t>
      </w:r>
      <w:r w:rsidRPr="009C2EF2">
        <w:rPr>
          <w:rFonts w:ascii="Times New Roman" w:hAnsi="Times New Roman"/>
          <w:i/>
          <w:color w:val="231F20"/>
          <w:spacing w:val="1"/>
          <w:sz w:val="24"/>
          <w:szCs w:val="24"/>
          <w:lang w:val="az-Latn-AZ"/>
        </w:rPr>
        <w:t>edilməlidir</w:t>
      </w:r>
      <w:r w:rsidRPr="009C2EF2">
        <w:rPr>
          <w:rFonts w:ascii="Times New Roman" w:hAnsi="Times New Roman"/>
          <w:color w:val="231F20"/>
          <w:sz w:val="24"/>
          <w:szCs w:val="24"/>
          <w:lang w:val="az-Latn-AZ"/>
        </w:rPr>
        <w:t xml:space="preserve">. Ümumi royalti gəlirində lisenziyalı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üzərində mülkiyyət hüququ ilə bağlı lisenziara aid olan bütün öhdəliklər və xərclər nəzərdə tutulduğu halda,</w:t>
      </w:r>
    </w:p>
    <w:p w:rsidR="00D02DD9" w:rsidRPr="009C2EF2" w:rsidRDefault="003C64E0">
      <w:pPr>
        <w:pStyle w:val="a3"/>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xalis royalti gəlirində lisenziyalı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ilə bağlı lisenziatın üzərinə düşən bəzi və ya bütün öh</w:t>
      </w:r>
      <w:r w:rsidR="001617F2" w:rsidRPr="009C2EF2">
        <w:rPr>
          <w:rFonts w:ascii="Times New Roman" w:hAnsi="Times New Roman"/>
          <w:color w:val="231F20"/>
          <w:sz w:val="24"/>
          <w:szCs w:val="24"/>
          <w:lang w:val="az-Latn-AZ"/>
        </w:rPr>
        <w:t>d</w:t>
      </w:r>
      <w:r w:rsidRPr="009C2EF2">
        <w:rPr>
          <w:rFonts w:ascii="Times New Roman" w:hAnsi="Times New Roman"/>
          <w:color w:val="231F20"/>
          <w:sz w:val="24"/>
          <w:szCs w:val="24"/>
          <w:lang w:val="az-Latn-AZ"/>
        </w:rPr>
        <w:t xml:space="preserve">əliklər və xərclər nəzərdə tutulur. Qiymətləndirmə zamanı xərclərin (hipotetik olaraq lisenziyalaşdırılmış </w:t>
      </w:r>
      <w:r w:rsidRPr="009C2EF2">
        <w:rPr>
          <w:rFonts w:ascii="Times New Roman" w:hAnsi="Times New Roman"/>
          <w:i/>
          <w:color w:val="231F20"/>
          <w:spacing w:val="-1"/>
          <w:sz w:val="24"/>
          <w:szCs w:val="24"/>
          <w:lang w:val="az-Latn-AZ"/>
        </w:rPr>
        <w:t xml:space="preserve">aktivlə </w:t>
      </w:r>
      <w:r w:rsidRPr="009C2EF2">
        <w:rPr>
          <w:rFonts w:ascii="Times New Roman" w:hAnsi="Times New Roman"/>
          <w:color w:val="231F20"/>
          <w:sz w:val="24"/>
          <w:szCs w:val="24"/>
          <w:lang w:val="az-Latn-AZ"/>
        </w:rPr>
        <w:t xml:space="preserve">bağlı istismar xərcləri, marketinq və ya reklam xərcləri) nəzərə </w:t>
      </w:r>
      <w:r w:rsidRPr="009C2EF2">
        <w:rPr>
          <w:rFonts w:ascii="Times New Roman" w:hAnsi="Times New Roman"/>
          <w:i/>
          <w:color w:val="231F20"/>
          <w:spacing w:val="1"/>
          <w:sz w:val="24"/>
          <w:szCs w:val="24"/>
          <w:lang w:val="az-Latn-AZ"/>
        </w:rPr>
        <w:t>alınıb-alınmaması</w:t>
      </w:r>
      <w:r w:rsidRPr="009C2EF2">
        <w:rPr>
          <w:rFonts w:ascii="Times New Roman" w:hAnsi="Times New Roman"/>
          <w:color w:val="231F20"/>
          <w:sz w:val="24"/>
          <w:szCs w:val="24"/>
          <w:lang w:val="az-Latn-AZ"/>
        </w:rPr>
        <w:t xml:space="preserve"> royaltinin ümumi və ya xalis gəlir olmasından asılıdır.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64</w:t>
      </w:r>
    </w:p>
    <w:p w:rsidR="00D02DD9" w:rsidRPr="009C2EF2" w:rsidRDefault="00D02DD9">
      <w:pPr>
        <w:pStyle w:val="a3"/>
        <w:kinsoku w:val="0"/>
        <w:overflowPunct w:val="0"/>
        <w:ind w:left="4185" w:right="4349"/>
        <w:jc w:val="center"/>
        <w:rPr>
          <w:rFonts w:ascii="Times New Roman" w:hAnsi="Times New Roman"/>
          <w:color w:val="000000"/>
          <w:sz w:val="24"/>
          <w:szCs w:val="24"/>
          <w:lang w:val="az-Latn-AZ"/>
        </w:rPr>
        <w:sectPr w:rsidR="00D02DD9" w:rsidRPr="009C2EF2">
          <w:footerReference w:type="default" r:id="rId7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2240" behindDoc="1" locked="0" layoutInCell="0" allowOverlap="1">
                <wp:simplePos x="0" y="0"/>
                <wp:positionH relativeFrom="page">
                  <wp:posOffset>5183505</wp:posOffset>
                </wp:positionH>
                <wp:positionV relativeFrom="page">
                  <wp:posOffset>0</wp:posOffset>
                </wp:positionV>
                <wp:extent cx="431800" cy="8423910"/>
                <wp:effectExtent l="0" t="0" r="0" b="0"/>
                <wp:wrapNone/>
                <wp:docPr id="12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360883" id="Freeform 147" o:spid="_x0000_s1026" style="position:absolute;margin-left:408.15pt;margin-top:0;width:34pt;height:663.3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zp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DsPc6X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A51157">
      <w:pPr>
        <w:pStyle w:val="a3"/>
        <w:numPr>
          <w:ilvl w:val="2"/>
          <w:numId w:val="51"/>
        </w:numPr>
        <w:tabs>
          <w:tab w:val="left" w:pos="720"/>
        </w:tabs>
        <w:kinsoku w:val="0"/>
        <w:overflowPunct w:val="0"/>
        <w:spacing w:before="77" w:line="250" w:lineRule="auto"/>
        <w:ind w:left="720" w:right="1186" w:hanging="3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hipotetik xərclərdən və royalti ödənişlərindən vergilər çıxılmalı olarsa, qeyri-maddi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mülkiyyət hüquqi ilə bağlı vergi sonrası qənaəti müəyyənləşdirmək üçün müvafiq vergi dərəcəsinin tətbiqi məqsədə uyğun hesab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w:t>
      </w:r>
    </w:p>
    <w:p w:rsidR="00D02DD9" w:rsidRPr="009C2EF2" w:rsidRDefault="00A51157" w:rsidP="00A51157">
      <w:pPr>
        <w:pStyle w:val="a3"/>
        <w:tabs>
          <w:tab w:val="left" w:pos="720"/>
        </w:tabs>
        <w:kinsoku w:val="0"/>
        <w:overflowPunct w:val="0"/>
        <w:spacing w:line="250" w:lineRule="auto"/>
        <w:ind w:left="720" w:right="1134" w:hanging="360"/>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       </w:t>
      </w:r>
      <w:r w:rsidR="003C64E0" w:rsidRPr="009C2EF2">
        <w:rPr>
          <w:rFonts w:ascii="Times New Roman" w:hAnsi="Times New Roman"/>
          <w:color w:val="231F20"/>
          <w:spacing w:val="-2"/>
          <w:sz w:val="24"/>
          <w:szCs w:val="24"/>
          <w:lang w:val="az-Latn-AZ"/>
        </w:rPr>
        <w:t xml:space="preserve">Lakin, </w:t>
      </w:r>
      <w:r w:rsidR="003C64E0" w:rsidRPr="009C2EF2">
        <w:rPr>
          <w:rFonts w:ascii="Times New Roman" w:hAnsi="Times New Roman"/>
          <w:i/>
          <w:color w:val="231F20"/>
          <w:sz w:val="24"/>
          <w:szCs w:val="24"/>
          <w:lang w:val="az-Latn-AZ"/>
        </w:rPr>
        <w:t xml:space="preserve">məqsədindən </w:t>
      </w:r>
      <w:r w:rsidR="003C64E0" w:rsidRPr="009C2EF2">
        <w:rPr>
          <w:rFonts w:ascii="Times New Roman" w:hAnsi="Times New Roman"/>
          <w:color w:val="231F20"/>
          <w:spacing w:val="-2"/>
          <w:sz w:val="24"/>
          <w:szCs w:val="24"/>
          <w:lang w:val="az-Latn-AZ"/>
        </w:rPr>
        <w:t xml:space="preserve">asılı olaraq (məsələn, transfer qiymətqoyma) bəzi qiymətləndirmələrdə ümumilikdə verginin təsirləri nəzərə alınmır və bu mərhələ </w:t>
      </w:r>
      <w:r w:rsidR="003C64E0" w:rsidRPr="009C2EF2">
        <w:rPr>
          <w:rFonts w:ascii="Times New Roman" w:hAnsi="Times New Roman"/>
          <w:i/>
          <w:color w:val="231F20"/>
          <w:spacing w:val="1"/>
          <w:sz w:val="24"/>
          <w:szCs w:val="24"/>
          <w:lang w:val="az-Latn-AZ"/>
        </w:rPr>
        <w:t xml:space="preserve">buraxılmalı </w:t>
      </w:r>
      <w:r w:rsidR="003C64E0" w:rsidRPr="009C2EF2">
        <w:rPr>
          <w:rFonts w:ascii="Times New Roman" w:hAnsi="Times New Roman"/>
          <w:color w:val="231F20"/>
          <w:spacing w:val="-2"/>
          <w:sz w:val="24"/>
          <w:szCs w:val="24"/>
          <w:lang w:val="az-Latn-AZ"/>
        </w:rPr>
        <w:t>olur,</w:t>
      </w:r>
    </w:p>
    <w:p w:rsidR="00D02DD9" w:rsidRPr="009C2EF2" w:rsidRDefault="00D02DD9" w:rsidP="00A51157">
      <w:pPr>
        <w:pStyle w:val="a3"/>
        <w:tabs>
          <w:tab w:val="left" w:pos="720"/>
        </w:tabs>
        <w:kinsoku w:val="0"/>
        <w:overflowPunct w:val="0"/>
        <w:spacing w:before="9"/>
        <w:ind w:left="720" w:hanging="360"/>
        <w:rPr>
          <w:rFonts w:ascii="Times New Roman" w:hAnsi="Times New Roman"/>
          <w:sz w:val="24"/>
          <w:szCs w:val="24"/>
          <w:lang w:val="az-Latn-AZ"/>
        </w:rPr>
      </w:pPr>
    </w:p>
    <w:p w:rsidR="00D02DD9" w:rsidRPr="009C2EF2" w:rsidRDefault="003C64E0" w:rsidP="00A51157">
      <w:pPr>
        <w:pStyle w:val="a3"/>
        <w:numPr>
          <w:ilvl w:val="2"/>
          <w:numId w:val="51"/>
        </w:numPr>
        <w:tabs>
          <w:tab w:val="left" w:pos="720"/>
        </w:tabs>
        <w:kinsoku w:val="0"/>
        <w:overflowPunct w:val="0"/>
        <w:spacing w:line="250" w:lineRule="auto"/>
        <w:ind w:left="720" w:right="1057" w:hanging="3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üzrə uyğun diskont faiz dərəcəsinin müəyyənləşdirilməsi və qeyri-maddi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üzərində mülkiyyət hüququnun əldə olunması ilə əlaqədar edilmiş qənaətin qiymətləndirilməsi və</w:t>
      </w:r>
    </w:p>
    <w:p w:rsidR="00D02DD9" w:rsidRPr="009C2EF2" w:rsidRDefault="00D02DD9" w:rsidP="00A51157">
      <w:pPr>
        <w:pStyle w:val="a3"/>
        <w:tabs>
          <w:tab w:val="left" w:pos="720"/>
        </w:tabs>
        <w:kinsoku w:val="0"/>
        <w:overflowPunct w:val="0"/>
        <w:spacing w:before="9"/>
        <w:ind w:left="720" w:hanging="360"/>
        <w:rPr>
          <w:rFonts w:ascii="Times New Roman" w:hAnsi="Times New Roman"/>
          <w:sz w:val="24"/>
          <w:szCs w:val="24"/>
          <w:lang w:val="az-Latn-AZ"/>
        </w:rPr>
      </w:pPr>
    </w:p>
    <w:p w:rsidR="00D02DD9" w:rsidRPr="009C2EF2" w:rsidRDefault="003C64E0" w:rsidP="00A51157">
      <w:pPr>
        <w:pStyle w:val="a3"/>
        <w:numPr>
          <w:ilvl w:val="2"/>
          <w:numId w:val="51"/>
        </w:numPr>
        <w:tabs>
          <w:tab w:val="left" w:pos="720"/>
        </w:tabs>
        <w:kinsoku w:val="0"/>
        <w:overflowPunct w:val="0"/>
        <w:spacing w:line="250" w:lineRule="auto"/>
        <w:ind w:left="720" w:right="1283" w:hanging="36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qiymətləndirmənin məqsədinə</w:t>
      </w:r>
      <w:r w:rsidRPr="009C2EF2">
        <w:rPr>
          <w:rFonts w:ascii="Times New Roman" w:hAnsi="Times New Roman"/>
          <w:color w:val="231F20"/>
          <w:sz w:val="24"/>
          <w:szCs w:val="24"/>
          <w:lang w:val="az-Latn-AZ"/>
        </w:rPr>
        <w:t xml:space="preserve"> uyğun olduqda (bax: 110.1-110.4-cü bəndlər) qeyri-</w:t>
      </w:r>
      <w:r w:rsidRPr="009C2EF2">
        <w:rPr>
          <w:rFonts w:ascii="Times New Roman" w:hAnsi="Times New Roman"/>
          <w:i/>
          <w:color w:val="231F20"/>
          <w:spacing w:val="-1"/>
          <w:sz w:val="24"/>
          <w:szCs w:val="24"/>
          <w:lang w:val="az-Latn-AZ"/>
        </w:rPr>
        <w:t>maddi</w:t>
      </w:r>
      <w:r w:rsidRPr="009C2EF2">
        <w:rPr>
          <w:rFonts w:ascii="Times New Roman" w:hAnsi="Times New Roman"/>
          <w:color w:val="231F20"/>
          <w:sz w:val="24"/>
          <w:szCs w:val="24"/>
          <w:lang w:val="az-Latn-AZ"/>
        </w:rPr>
        <w:t xml:space="preserve"> aktiv üzrə TAB-ın (vergi amortizasiyası faydası) hesablanması və əlavə edilməsi.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51"/>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3456" behindDoc="0" locked="0" layoutInCell="0" allowOverlap="1">
                <wp:simplePos x="0" y="0"/>
                <wp:positionH relativeFrom="page">
                  <wp:posOffset>5276215</wp:posOffset>
                </wp:positionH>
                <wp:positionV relativeFrom="paragraph">
                  <wp:posOffset>496570</wp:posOffset>
                </wp:positionV>
                <wp:extent cx="152400" cy="2733675"/>
                <wp:effectExtent l="0" t="0" r="0" b="0"/>
                <wp:wrapNone/>
                <wp:docPr id="1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3" type="#_x0000_t202" style="position:absolute;left:0;text-align:left;margin-left:415.45pt;margin-top:39.1pt;width:12pt;height:215.2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yxsQ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Royalti dərəcəsinin istər bazar əməliy</w:t>
      </w:r>
      <w:r w:rsidR="001617F2" w:rsidRPr="009C2EF2">
        <w:rPr>
          <w:rFonts w:ascii="Times New Roman" w:hAnsi="Times New Roman"/>
          <w:color w:val="231F20"/>
          <w:sz w:val="24"/>
          <w:szCs w:val="24"/>
          <w:lang w:val="az-Latn-AZ"/>
        </w:rPr>
        <w:t>y</w:t>
      </w:r>
      <w:r w:rsidR="003C64E0" w:rsidRPr="009C2EF2">
        <w:rPr>
          <w:rFonts w:ascii="Times New Roman" w:hAnsi="Times New Roman"/>
          <w:color w:val="231F20"/>
          <w:sz w:val="24"/>
          <w:szCs w:val="24"/>
          <w:lang w:val="az-Latn-AZ"/>
        </w:rPr>
        <w:t xml:space="preserve">atları, istərsə də mənfəətin bölüşdürülməsi metodu (və ya hər ikisi) əsasında təyin edilməsindən asılı olmayaraq onun müəyyənləşdirilməsi zamanı qiymətləndirilən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 xml:space="preserve">xüsusiyyətləri, eləcə də, istifadə olunacağı mühit nəzərə </w:t>
      </w:r>
      <w:r w:rsidR="003C64E0" w:rsidRPr="009C2EF2">
        <w:rPr>
          <w:rFonts w:ascii="Times New Roman" w:hAnsi="Times New Roman"/>
          <w:i/>
          <w:color w:val="231F20"/>
          <w:spacing w:val="1"/>
          <w:sz w:val="24"/>
          <w:szCs w:val="24"/>
          <w:lang w:val="az-Latn-AZ"/>
        </w:rPr>
        <w:t>alınmalıdır</w:t>
      </w:r>
      <w:r w:rsidR="003C64E0" w:rsidRPr="009C2EF2">
        <w:rPr>
          <w:rFonts w:ascii="Times New Roman" w:hAnsi="Times New Roman"/>
          <w:color w:val="231F20"/>
          <w:sz w:val="24"/>
          <w:szCs w:val="24"/>
          <w:lang w:val="az-Latn-AZ"/>
        </w:rPr>
        <w:t xml:space="preserve">. Bu xüsusiyyətlər royalti dərəcəsinin mövcud əməliyyatlar əsasında və ya qiymətləndirilən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mümkün mənfəəti əsasında müəyyənləşdiriməsinə əsas verir. Nəzərə </w:t>
      </w:r>
      <w:r w:rsidR="003C64E0" w:rsidRPr="009C2EF2">
        <w:rPr>
          <w:rFonts w:ascii="Times New Roman" w:hAnsi="Times New Roman"/>
          <w:i/>
          <w:color w:val="231F20"/>
          <w:spacing w:val="1"/>
          <w:sz w:val="24"/>
          <w:szCs w:val="24"/>
          <w:lang w:val="az-Latn-AZ"/>
        </w:rPr>
        <w:t xml:space="preserve">alınacaq </w:t>
      </w:r>
      <w:r w:rsidR="003C64E0" w:rsidRPr="009C2EF2">
        <w:rPr>
          <w:rFonts w:ascii="Times New Roman" w:hAnsi="Times New Roman"/>
          <w:color w:val="231F20"/>
          <w:sz w:val="24"/>
          <w:szCs w:val="24"/>
          <w:lang w:val="az-Latn-AZ"/>
        </w:rPr>
        <w:t>amillərə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Rəqabətcil mühit: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üzrə bazarın miqyası, real alternativlərin mövcudluğu, rəqiblərin sayı, giriş ilə bağlı məhdudiyyətlər və keçid xərclərinin olması (olmaması).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A51157">
      <w:pPr>
        <w:pStyle w:val="a3"/>
        <w:numPr>
          <w:ilvl w:val="2"/>
          <w:numId w:val="51"/>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Qiymətləndirilən qeyri-maddi aktivin sahibi üçün əhəmiyyəti: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 xml:space="preserve">rəqiblərdən fərqləndirən əsas amil olduğu təqdirdə sahibinin bazar strategiyasındakı qiymətləndirilən aktivin rolu, digər maddi və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ilə müqayisədə nisbi əhəmiyyəti və sahibkarın</w:t>
      </w:r>
      <w:r w:rsidR="001617F2"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lastRenderedPageBreak/>
        <w:t>yaradılması, saxlanılması və inkişafı ilə bağlı çəkdiyi xərclər.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aktivin xidmət müddəti: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faydalı istismar müddəti və köhnələn qeyri-maddi aktivlərin riski.</w:t>
      </w:r>
    </w:p>
    <w:p w:rsidR="00D02DD9" w:rsidRPr="009C2EF2" w:rsidRDefault="00D02DD9">
      <w:pPr>
        <w:pStyle w:val="a3"/>
        <w:kinsoku w:val="0"/>
        <w:overflowPunct w:val="0"/>
        <w:spacing w:before="9"/>
        <w:ind w:left="0"/>
        <w:rPr>
          <w:rFonts w:ascii="Times New Roman" w:hAnsi="Times New Roman"/>
          <w:sz w:val="24"/>
          <w:szCs w:val="24"/>
          <w:lang w:val="az-Latn-AZ"/>
        </w:rPr>
      </w:pPr>
    </w:p>
    <w:p w:rsidR="001617F2" w:rsidRPr="009C2EF2" w:rsidRDefault="003C64E0">
      <w:pPr>
        <w:pStyle w:val="a3"/>
        <w:numPr>
          <w:ilvl w:val="1"/>
          <w:numId w:val="51"/>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Royalti dərəcəsini müəyyənləşdirərkən </w:t>
      </w:r>
      <w:r w:rsidRPr="009C2EF2">
        <w:rPr>
          <w:rFonts w:ascii="Times New Roman" w:hAnsi="Times New Roman"/>
          <w:i/>
          <w:color w:val="231F20"/>
          <w:sz w:val="24"/>
          <w:szCs w:val="24"/>
          <w:lang w:val="az-Latn-AZ"/>
        </w:rPr>
        <w:t>qiymətləndirici</w:t>
      </w:r>
      <w:r w:rsidRPr="009C2EF2">
        <w:rPr>
          <w:rFonts w:ascii="Times New Roman" w:hAnsi="Times New Roman"/>
          <w:color w:val="231F20"/>
          <w:spacing w:val="1"/>
          <w:sz w:val="24"/>
          <w:szCs w:val="24"/>
          <w:lang w:val="az-Latn-AZ"/>
        </w:rPr>
        <w:t xml:space="preserve">, həmçinin, aşağıdakıları </w:t>
      </w:r>
    </w:p>
    <w:p w:rsidR="00D02DD9" w:rsidRPr="009C2EF2" w:rsidRDefault="003C64E0" w:rsidP="001617F2">
      <w:pPr>
        <w:pStyle w:val="a3"/>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da nəzərə almalıdır: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A51157">
      <w:pPr>
        <w:pStyle w:val="a3"/>
        <w:numPr>
          <w:ilvl w:val="2"/>
          <w:numId w:val="51"/>
        </w:numPr>
        <w:tabs>
          <w:tab w:val="left" w:pos="450"/>
        </w:tabs>
        <w:kinsoku w:val="0"/>
        <w:overflowPunct w:val="0"/>
        <w:spacing w:before="9" w:line="250" w:lineRule="auto"/>
        <w:ind w:left="450" w:right="1007" w:hanging="60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Lisenziya müqaviləsi bağlanarkən</w:t>
      </w: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pacing w:val="1"/>
          <w:sz w:val="24"/>
          <w:szCs w:val="24"/>
          <w:lang w:val="az-Latn-AZ"/>
        </w:rPr>
        <w:t xml:space="preserve">ödəməyə razı olacaqları royalti dərəcəsi mənfəət səviyyəsindən və lisenziyalaşdırılmış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həmin gəlir üzrə nisbi iştirak səviyyəsindən asılı olur.  Məsələn,</w:t>
      </w:r>
      <w:r w:rsidR="00A51157"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istehlak məhsullarının istehsalçısı ticarət adını</w:t>
      </w:r>
      <w:r w:rsidR="00A51157"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ümumi məhsullar ilə müqayisədə brend məhsullarının satışından daha aşağı mənfəət əldə etməsinə səbəb olacaq royalti dərəcəsində lisenziyalaşdırmaz.</w:t>
      </w:r>
    </w:p>
    <w:p w:rsidR="00D02DD9" w:rsidRPr="009C2EF2" w:rsidRDefault="00D02DD9" w:rsidP="00A51157">
      <w:pPr>
        <w:pStyle w:val="a3"/>
        <w:tabs>
          <w:tab w:val="left" w:pos="450"/>
        </w:tabs>
        <w:kinsoku w:val="0"/>
        <w:overflowPunct w:val="0"/>
        <w:spacing w:before="9"/>
        <w:ind w:left="450" w:hanging="604"/>
        <w:jc w:val="both"/>
        <w:rPr>
          <w:rFonts w:ascii="Times New Roman" w:hAnsi="Times New Roman"/>
          <w:sz w:val="24"/>
          <w:szCs w:val="24"/>
          <w:lang w:val="az-Latn-AZ"/>
        </w:rPr>
      </w:pPr>
    </w:p>
    <w:p w:rsidR="00D02DD9" w:rsidRPr="009C2EF2" w:rsidRDefault="003C64E0" w:rsidP="00A51157">
      <w:pPr>
        <w:pStyle w:val="a3"/>
        <w:numPr>
          <w:ilvl w:val="2"/>
          <w:numId w:val="51"/>
        </w:numPr>
        <w:tabs>
          <w:tab w:val="left" w:pos="450"/>
        </w:tabs>
        <w:kinsoku w:val="0"/>
        <w:overflowPunct w:val="0"/>
        <w:spacing w:line="250" w:lineRule="auto"/>
        <w:ind w:left="360" w:right="1134" w:hanging="5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Mövcud royalti əməliyyatları nəzərə alınarkən,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lisenziata verilən hüquqları və mə</w:t>
      </w:r>
      <w:r w:rsidR="00A51157" w:rsidRPr="009C2EF2">
        <w:rPr>
          <w:rFonts w:ascii="Times New Roman" w:hAnsi="Times New Roman"/>
          <w:color w:val="231F20"/>
          <w:spacing w:val="1"/>
          <w:sz w:val="24"/>
          <w:szCs w:val="24"/>
          <w:lang w:val="az-Latn-AZ"/>
        </w:rPr>
        <w:t>h</w:t>
      </w:r>
      <w:r w:rsidRPr="009C2EF2">
        <w:rPr>
          <w:rFonts w:ascii="Times New Roman" w:hAnsi="Times New Roman"/>
          <w:color w:val="231F20"/>
          <w:spacing w:val="1"/>
          <w:sz w:val="24"/>
          <w:szCs w:val="24"/>
          <w:lang w:val="az-Latn-AZ"/>
        </w:rPr>
        <w:t xml:space="preserve">dudiyyətləri başa düşməlidir. Məsələn, royalti müqavilələrində lisenziya verilmiş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istifadəsinə dair </w:t>
      </w:r>
      <w:r w:rsidRPr="009C2EF2">
        <w:rPr>
          <w:rFonts w:ascii="Times New Roman" w:hAnsi="Times New Roman"/>
          <w:i/>
          <w:color w:val="231F20"/>
          <w:sz w:val="24"/>
          <w:szCs w:val="24"/>
          <w:lang w:val="az-Latn-AZ"/>
        </w:rPr>
        <w:t xml:space="preserve">ciddi </w:t>
      </w:r>
      <w:r w:rsidRPr="009C2EF2">
        <w:rPr>
          <w:rFonts w:ascii="Times New Roman" w:hAnsi="Times New Roman"/>
          <w:color w:val="231F20"/>
          <w:spacing w:val="1"/>
          <w:sz w:val="24"/>
          <w:szCs w:val="24"/>
          <w:lang w:val="az-Latn-AZ"/>
        </w:rPr>
        <w:t xml:space="preserve">qadağalar (müəyyən coğrafi ərazi və ya məhsul ilə bağlı qadağalar kimi) müəyyən edilə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 xml:space="preserve">. Bundan başqa, qiymətləndirici lisenziya müqaviləsi üzrə ödənişlərin aparılma qaydasını, o cümlədən müqavilədə avans ödənişlərinin, hissə-hissə ödənişlərin və lisenziya verilmiş mülkiyyətə tam sahib olmaq üçün alqı-satqı hüququnun nəzərdə tutulub-tutulmadığını </w:t>
      </w:r>
      <w:r w:rsidRPr="009C2EF2">
        <w:rPr>
          <w:rFonts w:ascii="Times New Roman" w:hAnsi="Times New Roman"/>
          <w:i/>
          <w:color w:val="231F20"/>
          <w:sz w:val="24"/>
          <w:szCs w:val="24"/>
          <w:lang w:val="az-Latn-AZ"/>
        </w:rPr>
        <w:t>bilməlidir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65</w:t>
      </w:r>
    </w:p>
    <w:p w:rsidR="00D02DD9" w:rsidRPr="009C2EF2" w:rsidRDefault="00D02DD9">
      <w:pPr>
        <w:pStyle w:val="a3"/>
        <w:kinsoku w:val="0"/>
        <w:overflowPunct w:val="0"/>
        <w:spacing w:before="80"/>
        <w:ind w:left="2878" w:right="3722"/>
        <w:jc w:val="center"/>
        <w:rPr>
          <w:rFonts w:ascii="Times New Roman" w:hAnsi="Times New Roman"/>
          <w:color w:val="000000"/>
          <w:sz w:val="24"/>
          <w:szCs w:val="24"/>
          <w:lang w:val="az-Latn-AZ"/>
        </w:rPr>
        <w:sectPr w:rsidR="00D02DD9" w:rsidRPr="009C2EF2">
          <w:footerReference w:type="default" r:id="rId7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3264" behindDoc="1" locked="0" layoutInCell="0" allowOverlap="1">
                <wp:simplePos x="0" y="0"/>
                <wp:positionH relativeFrom="page">
                  <wp:posOffset>0</wp:posOffset>
                </wp:positionH>
                <wp:positionV relativeFrom="page">
                  <wp:posOffset>0</wp:posOffset>
                </wp:positionV>
                <wp:extent cx="432435" cy="8424545"/>
                <wp:effectExtent l="0" t="0" r="0" b="0"/>
                <wp:wrapNone/>
                <wp:docPr id="12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0FE0E0" id="Freeform 149" o:spid="_x0000_s1026" style="position:absolute;margin-left:0;margin-top:0;width:34.05pt;height:663.3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Heading51"/>
        <w:kinsoku w:val="0"/>
        <w:overflowPunct w:val="0"/>
        <w:spacing w:before="77"/>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2"/>
          <w:sz w:val="24"/>
          <w:szCs w:val="24"/>
          <w:lang w:val="az-Latn-AZ"/>
        </w:rPr>
        <w:t>Qeyri-Maddi Aktivin Daxil Olub-Olmadığı Metod</w:t>
      </w:r>
    </w:p>
    <w:p w:rsidR="00D02DD9" w:rsidRPr="009C2EF2" w:rsidRDefault="003C64E0" w:rsidP="00A51157">
      <w:pPr>
        <w:pStyle w:val="a3"/>
        <w:numPr>
          <w:ilvl w:val="1"/>
          <w:numId w:val="51"/>
        </w:numPr>
        <w:tabs>
          <w:tab w:val="left" w:pos="1531"/>
        </w:tabs>
        <w:kinsoku w:val="0"/>
        <w:overflowPunct w:val="0"/>
        <w:spacing w:before="122" w:line="250" w:lineRule="auto"/>
        <w:ind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aktivin</w:t>
      </w:r>
      <w:r w:rsidRPr="009C2EF2">
        <w:rPr>
          <w:rFonts w:ascii="Times New Roman" w:hAnsi="Times New Roman"/>
          <w:color w:val="231F20"/>
          <w:sz w:val="24"/>
          <w:szCs w:val="24"/>
          <w:lang w:val="az-Latn-AZ"/>
        </w:rPr>
        <w:t xml:space="preserve"> daxil olub-olmadığı metod iki plan əsasında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dəyərini müəyyən edir: metodların birində müəssisə qiymətləndirilən qeyri-maddi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z w:val="24"/>
          <w:szCs w:val="24"/>
          <w:lang w:val="az-Latn-AZ"/>
        </w:rPr>
        <w:t>istifadə edir, digərində isə istifadə etmir (lakin digər amillər sabit qalır).</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1"/>
          <w:numId w:val="51"/>
        </w:numPr>
        <w:tabs>
          <w:tab w:val="left" w:pos="1531"/>
        </w:tabs>
        <w:kinsoku w:val="0"/>
        <w:overflowPunct w:val="0"/>
        <w:ind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Bu iki plan aşağıdakı üsullarla müqayisə edilə bilər:</w:t>
      </w:r>
    </w:p>
    <w:p w:rsidR="00D02DD9" w:rsidRPr="009C2EF2" w:rsidRDefault="00D02DD9" w:rsidP="00A51157">
      <w:pPr>
        <w:pStyle w:val="a3"/>
        <w:kinsoku w:val="0"/>
        <w:overflowPunct w:val="0"/>
        <w:spacing w:before="7"/>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dəyərini təşkil edən müəssisə dəyərlərindəki fərqlərin əks olunduğu planlar əsasında müəssisə dəyərinin hesablanması və</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gələcək dövrlər üzrə hər iki plan əsasında mənfəət arasındakı fərqlərin hesablanması. Həmin məbləğlərin cari dəyərindən daha sonra qiymətləndirilən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dəyərinin müəyyənləşdirilməsində istifadə olunur.</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75026C" w:rsidP="00A51157">
      <w:pPr>
        <w:pStyle w:val="a3"/>
        <w:numPr>
          <w:ilvl w:val="1"/>
          <w:numId w:val="51"/>
        </w:numPr>
        <w:tabs>
          <w:tab w:val="left" w:pos="1531"/>
        </w:tabs>
        <w:kinsoku w:val="0"/>
        <w:overflowPunct w:val="0"/>
        <w:spacing w:line="250" w:lineRule="auto"/>
        <w:ind w:right="66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4480" behindDoc="0" locked="0" layoutInCell="0" allowOverlap="1">
                <wp:simplePos x="0" y="0"/>
                <wp:positionH relativeFrom="page">
                  <wp:posOffset>151130</wp:posOffset>
                </wp:positionH>
                <wp:positionV relativeFrom="paragraph">
                  <wp:posOffset>179705</wp:posOffset>
                </wp:positionV>
                <wp:extent cx="152400" cy="2733675"/>
                <wp:effectExtent l="0" t="0" r="0" b="0"/>
                <wp:wrapNone/>
                <wp:docPr id="1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4" type="#_x0000_t202" style="position:absolute;left:0;text-align:left;margin-left:11.9pt;margin-top:14.15pt;width:12pt;height:215.2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eitA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i/>
          <w:color w:val="231F20"/>
          <w:sz w:val="24"/>
          <w:szCs w:val="24"/>
          <w:lang w:val="az-Latn-AZ"/>
        </w:rPr>
        <w:t xml:space="preserve">Qiymətləndiricinin </w:t>
      </w:r>
      <w:r w:rsidR="003C64E0" w:rsidRPr="009C2EF2">
        <w:rPr>
          <w:rFonts w:ascii="Times New Roman" w:hAnsi="Times New Roman"/>
          <w:color w:val="231F20"/>
          <w:sz w:val="24"/>
          <w:szCs w:val="24"/>
          <w:lang w:val="az-Latn-AZ"/>
        </w:rPr>
        <w:t xml:space="preserve">yalnız müəssisə dəyəri üzərindəki təsiri deyil, eyni zamanda əlavə amilləri (məsələn, planlar arasındakı kapital qoyuluşu  və kapital xərclər ilə bağlı fərq kimi) də nəzərə aldığı təqdirdə, mahiyyət etibarı ilə hər iki metod qeyri-maddi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 xml:space="preserve">üçün eyni dəyəri müəyyən </w:t>
      </w:r>
      <w:r w:rsidR="003C64E0" w:rsidRPr="009C2EF2">
        <w:rPr>
          <w:rFonts w:ascii="Times New Roman" w:hAnsi="Times New Roman"/>
          <w:i/>
          <w:color w:val="231F20"/>
          <w:spacing w:val="1"/>
          <w:sz w:val="24"/>
          <w:szCs w:val="24"/>
          <w:lang w:val="az-Latn-AZ"/>
        </w:rPr>
        <w:t>etməlidir</w:t>
      </w:r>
      <w:r w:rsidR="003C64E0" w:rsidRPr="009C2EF2">
        <w:rPr>
          <w:rFonts w:ascii="Times New Roman" w:hAnsi="Times New Roman"/>
          <w:color w:val="231F20"/>
          <w:sz w:val="24"/>
          <w:szCs w:val="24"/>
          <w:lang w:val="az-Latn-AZ"/>
        </w:rPr>
        <w:t xml:space="preserve">, </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1"/>
          <w:numId w:val="51"/>
        </w:numPr>
        <w:tabs>
          <w:tab w:val="left" w:pos="1531"/>
        </w:tabs>
        <w:kinsoku w:val="0"/>
        <w:overflowPunct w:val="0"/>
        <w:ind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aktivin daxil olub-olmadığı metoddan, əsasən,</w:t>
      </w:r>
    </w:p>
    <w:p w:rsidR="00D02DD9" w:rsidRPr="009C2EF2" w:rsidRDefault="003C64E0" w:rsidP="00A51157">
      <w:pPr>
        <w:pStyle w:val="a3"/>
        <w:kinsoku w:val="0"/>
        <w:overflowPunct w:val="0"/>
        <w:spacing w:before="9" w:line="250" w:lineRule="auto"/>
        <w:ind w:right="66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rəqabətin olmamasına dair müqavilələrin qiymətləndirilməsində istifadə olunur, lakin bu metoddan bəzi hallarda başqa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qiymətləndirilməsində də istifadə oluna </w:t>
      </w:r>
      <w:r w:rsidRPr="009C2EF2">
        <w:rPr>
          <w:rFonts w:ascii="Times New Roman" w:hAnsi="Times New Roman"/>
          <w:i/>
          <w:color w:val="231F20"/>
          <w:spacing w:val="-1"/>
          <w:sz w:val="24"/>
          <w:szCs w:val="24"/>
          <w:lang w:val="az-Latn-AZ"/>
        </w:rPr>
        <w:t>bilər</w:t>
      </w:r>
      <w:r w:rsidRPr="009C2EF2">
        <w:rPr>
          <w:rFonts w:ascii="Times New Roman" w:hAnsi="Times New Roman"/>
          <w:color w:val="231F20"/>
          <w:spacing w:val="1"/>
          <w:sz w:val="24"/>
          <w:szCs w:val="24"/>
          <w:lang w:val="az-Latn-AZ"/>
        </w:rPr>
        <w:t>.</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1"/>
          <w:numId w:val="51"/>
        </w:numPr>
        <w:tabs>
          <w:tab w:val="left" w:pos="1531"/>
        </w:tabs>
        <w:kinsoku w:val="0"/>
        <w:overflowPunct w:val="0"/>
        <w:ind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aktivin daxil olub olmadığı üsulun tətbiqi ilə bağlı əsas addımlara aşağıdakılar daxildir:</w:t>
      </w:r>
    </w:p>
    <w:p w:rsidR="00D02DD9" w:rsidRPr="009C2EF2" w:rsidRDefault="00D02DD9" w:rsidP="00A51157">
      <w:pPr>
        <w:pStyle w:val="a3"/>
        <w:kinsoku w:val="0"/>
        <w:overflowPunct w:val="0"/>
        <w:spacing w:before="7"/>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bütün </w:t>
      </w:r>
      <w:r w:rsidRPr="009C2EF2">
        <w:rPr>
          <w:rFonts w:ascii="Times New Roman" w:hAnsi="Times New Roman"/>
          <w:i/>
          <w:color w:val="231F20"/>
          <w:sz w:val="24"/>
          <w:szCs w:val="24"/>
          <w:lang w:val="az-Latn-AZ"/>
        </w:rPr>
        <w:t xml:space="preserve">aktivlərini </w:t>
      </w:r>
      <w:r w:rsidRPr="009C2EF2">
        <w:rPr>
          <w:rFonts w:ascii="Times New Roman" w:hAnsi="Times New Roman"/>
          <w:color w:val="231F20"/>
          <w:sz w:val="24"/>
          <w:szCs w:val="24"/>
          <w:lang w:val="az-Latn-AZ"/>
        </w:rPr>
        <w:t xml:space="preserve">, o cümlədən qeyri-maddi </w:t>
      </w:r>
      <w:r w:rsidRPr="009C2EF2">
        <w:rPr>
          <w:rFonts w:ascii="Times New Roman" w:hAnsi="Times New Roman"/>
          <w:i/>
          <w:color w:val="231F20"/>
          <w:spacing w:val="-1"/>
          <w:sz w:val="24"/>
          <w:szCs w:val="24"/>
          <w:lang w:val="az-Latn-AZ"/>
        </w:rPr>
        <w:t xml:space="preserve">aktivini </w:t>
      </w:r>
      <w:r w:rsidRPr="009C2EF2">
        <w:rPr>
          <w:rFonts w:ascii="Times New Roman" w:hAnsi="Times New Roman"/>
          <w:color w:val="231F20"/>
          <w:sz w:val="24"/>
          <w:szCs w:val="24"/>
          <w:lang w:val="az-Latn-AZ"/>
        </w:rPr>
        <w:t>nəzərə almaqla müəssisə üçün gəlir, xərclər, kapital xərcləri və dövriyyə kapitalı xərcləri üzrə göstəriciləri müəyyən etmək. Bunlar qeyri-maddi aktivin daxil olduğu planda pul axınlarıdır,</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aktivin daxil olduğu planda gələcək pul axınları üzrə cari dəyəri müəyyən etmək üçün müvafiq diskont faiz dərəcəsindən </w:t>
      </w:r>
      <w:r w:rsidRPr="009C2EF2">
        <w:rPr>
          <w:rFonts w:ascii="Times New Roman" w:hAnsi="Times New Roman"/>
          <w:color w:val="231F20"/>
          <w:sz w:val="24"/>
          <w:szCs w:val="24"/>
          <w:lang w:val="az-Latn-AZ"/>
        </w:rPr>
        <w:lastRenderedPageBreak/>
        <w:t>istifadə etmək və/ və ya qeyri-maddi aktivin daxil olduğu planda müəssisə ilə bağlı dəyəri hesablamaq,</w:t>
      </w: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 istisna olmaqla müəssisənin bütün </w:t>
      </w:r>
      <w:r w:rsidRPr="009C2EF2">
        <w:rPr>
          <w:rFonts w:ascii="Times New Roman" w:hAnsi="Times New Roman"/>
          <w:i/>
          <w:color w:val="231F20"/>
          <w:sz w:val="24"/>
          <w:szCs w:val="24"/>
          <w:lang w:val="az-Latn-AZ"/>
        </w:rPr>
        <w:t xml:space="preserve">aktivlərini </w:t>
      </w:r>
      <w:r w:rsidRPr="009C2EF2">
        <w:rPr>
          <w:rFonts w:ascii="Times New Roman" w:hAnsi="Times New Roman"/>
          <w:color w:val="231F20"/>
          <w:sz w:val="24"/>
          <w:szCs w:val="24"/>
          <w:lang w:val="az-Latn-AZ"/>
        </w:rPr>
        <w:t xml:space="preserve"> nəzərə alaraq müəssisə üçün gəlir, xərclər, kapital xərcləri və dövriyyə kapitalı xərcləri üzrə göstəriciləri müəyyən etmək. Bunlar qeyri-maddi aktivin daxil olmadığı planda pul axınlarıdır,</w:t>
      </w: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üçün müvafiq diskont faiz dərəcəsindən istifadə etmək, qeyri-maddi aktivin daxil olduğu planda gələcək pul axınları üzrə cari dəyəri müəyyən etmək və/ və ya qeyri-maddi aktivin daxil olduğu planda müəssisə ilə bağlı dəyəri hesablamaq,</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aktivin daxil olduğu planda pul axınının cari dəyərindən və ya biznesin dəyərindən qeyri-maddi aktivin daxil olmadığı plandakı pul axınının cari dəyərini və ya biznesin dəyərini çıxmaq və</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2"/>
          <w:numId w:val="51"/>
        </w:numPr>
        <w:tabs>
          <w:tab w:val="left" w:pos="1815"/>
        </w:tabs>
        <w:kinsoku w:val="0"/>
        <w:overflowPunct w:val="0"/>
        <w:spacing w:line="250" w:lineRule="auto"/>
        <w:ind w:left="1814" w:right="66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qiymətləndirmənin məqsədinə</w:t>
      </w:r>
      <w:r w:rsidRPr="009C2EF2">
        <w:rPr>
          <w:rFonts w:ascii="Times New Roman" w:hAnsi="Times New Roman"/>
          <w:color w:val="231F20"/>
          <w:sz w:val="24"/>
          <w:szCs w:val="24"/>
          <w:lang w:val="az-Latn-AZ"/>
        </w:rPr>
        <w:t xml:space="preserve"> uyğun olduqda (bax: 110.1-110.4-cü bəndlər) qeyri-</w:t>
      </w:r>
      <w:r w:rsidRPr="009C2EF2">
        <w:rPr>
          <w:rFonts w:ascii="Times New Roman" w:hAnsi="Times New Roman"/>
          <w:i/>
          <w:color w:val="231F20"/>
          <w:spacing w:val="-1"/>
          <w:sz w:val="24"/>
          <w:szCs w:val="24"/>
          <w:lang w:val="az-Latn-AZ"/>
        </w:rPr>
        <w:t>maddi</w:t>
      </w:r>
      <w:r w:rsidRPr="009C2EF2">
        <w:rPr>
          <w:rFonts w:ascii="Times New Roman" w:hAnsi="Times New Roman"/>
          <w:color w:val="231F20"/>
          <w:sz w:val="24"/>
          <w:szCs w:val="24"/>
          <w:lang w:val="az-Latn-AZ"/>
        </w:rPr>
        <w:t xml:space="preserve"> aktiv üzrə TAB-ın (vergi amortizasiyası faydası) hesablanması və əlavə edilməsi. </w:t>
      </w:r>
    </w:p>
    <w:p w:rsidR="00D02DD9" w:rsidRPr="009C2EF2" w:rsidRDefault="00D02DD9" w:rsidP="00A51157">
      <w:pPr>
        <w:pStyle w:val="a3"/>
        <w:kinsoku w:val="0"/>
        <w:overflowPunct w:val="0"/>
        <w:spacing w:before="9"/>
        <w:ind w:left="0" w:right="660"/>
        <w:rPr>
          <w:rFonts w:ascii="Times New Roman" w:hAnsi="Times New Roman"/>
          <w:sz w:val="24"/>
          <w:szCs w:val="24"/>
          <w:lang w:val="az-Latn-AZ"/>
        </w:rPr>
      </w:pPr>
    </w:p>
    <w:p w:rsidR="00D02DD9" w:rsidRPr="009C2EF2" w:rsidRDefault="003C64E0" w:rsidP="00A51157">
      <w:pPr>
        <w:pStyle w:val="a3"/>
        <w:numPr>
          <w:ilvl w:val="1"/>
          <w:numId w:val="51"/>
        </w:numPr>
        <w:tabs>
          <w:tab w:val="left" w:pos="1531"/>
        </w:tabs>
        <w:kinsoku w:val="0"/>
        <w:overflowPunct w:val="0"/>
        <w:spacing w:line="250" w:lineRule="auto"/>
        <w:ind w:right="66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Əlavə addım kimi, bu iki plan arasındakı fərqin ehtimal </w:t>
      </w:r>
      <w:r w:rsidRPr="009C2EF2">
        <w:rPr>
          <w:rFonts w:ascii="Times New Roman" w:hAnsi="Times New Roman"/>
          <w:i/>
          <w:color w:val="231F20"/>
          <w:sz w:val="24"/>
          <w:szCs w:val="24"/>
          <w:lang w:val="az-Latn-AZ"/>
        </w:rPr>
        <w:t>çəkili</w:t>
      </w:r>
      <w:r w:rsidRPr="009C2EF2">
        <w:rPr>
          <w:rFonts w:ascii="Times New Roman" w:hAnsi="Times New Roman"/>
          <w:color w:val="231F20"/>
          <w:spacing w:val="1"/>
          <w:sz w:val="24"/>
          <w:szCs w:val="24"/>
          <w:lang w:val="az-Latn-AZ"/>
        </w:rPr>
        <w:t xml:space="preserve"> olmasına ehtiyac yarana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pacing w:val="1"/>
          <w:sz w:val="24"/>
          <w:szCs w:val="24"/>
          <w:lang w:val="az-Latn-AZ"/>
        </w:rPr>
        <w:t xml:space="preserve">.  Məsələn, rəqabətin olmamasına dair saziş imzalayarkən, sazişə uyğun olaraq fərdi şəxs və ya müəssisə hətta saziş təsdiqlənməsə də rəqabət aparmamağa qərar verə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66</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7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4288" behindDoc="1" locked="0" layoutInCell="0" allowOverlap="1">
                <wp:simplePos x="0" y="0"/>
                <wp:positionH relativeFrom="page">
                  <wp:posOffset>5183505</wp:posOffset>
                </wp:positionH>
                <wp:positionV relativeFrom="page">
                  <wp:posOffset>0</wp:posOffset>
                </wp:positionV>
                <wp:extent cx="431800" cy="8423910"/>
                <wp:effectExtent l="0" t="0" r="0" b="0"/>
                <wp:wrapNone/>
                <wp:docPr id="11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24BAC6" id="Freeform 151" o:spid="_x0000_s1026" style="position:absolute;margin-left:408.15pt;margin-top:0;width:34pt;height:663.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Lz/7YngDAAB2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51"/>
        </w:numPr>
        <w:tabs>
          <w:tab w:val="left" w:pos="681"/>
        </w:tabs>
        <w:kinsoku w:val="0"/>
        <w:overflowPunct w:val="0"/>
        <w:spacing w:before="77"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İki plan arasındakı dəyər fərqləri iki planda fərqli diskont faiz dərəcələrindən istifadə etmək yerinə yalnız pul axını ilə bağlı proqnozlarda əks </w:t>
      </w:r>
      <w:r w:rsidRPr="009C2EF2">
        <w:rPr>
          <w:rFonts w:ascii="Times New Roman" w:hAnsi="Times New Roman"/>
          <w:i/>
          <w:color w:val="231F20"/>
          <w:spacing w:val="1"/>
          <w:sz w:val="24"/>
          <w:szCs w:val="24"/>
          <w:lang w:val="az-Latn-AZ"/>
        </w:rPr>
        <w:t xml:space="preserve">olunmalıdır </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2"/>
          <w:sz w:val="24"/>
          <w:szCs w:val="24"/>
          <w:lang w:val="az-Latn-AZ"/>
        </w:rPr>
        <w:t>Qrinfild Metodu</w:t>
      </w:r>
    </w:p>
    <w:p w:rsidR="00D02DD9" w:rsidRPr="009C2EF2" w:rsidRDefault="003C64E0">
      <w:pPr>
        <w:pStyle w:val="a3"/>
        <w:numPr>
          <w:ilvl w:val="1"/>
          <w:numId w:val="51"/>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Qrinfild metodunun tətbiqi zamanı qeyri-maddi aktivin dəyəri qiymətləndirmə tarixində müəssisənin yeganə </w:t>
      </w:r>
      <w:r w:rsidRPr="009C2EF2">
        <w:rPr>
          <w:rFonts w:ascii="Times New Roman" w:hAnsi="Times New Roman"/>
          <w:i/>
          <w:color w:val="231F20"/>
          <w:sz w:val="24"/>
          <w:szCs w:val="24"/>
          <w:lang w:val="az-Latn-AZ"/>
        </w:rPr>
        <w:t xml:space="preserve">aktivinin </w:t>
      </w:r>
      <w:r w:rsidRPr="009C2EF2">
        <w:rPr>
          <w:rFonts w:ascii="Times New Roman" w:hAnsi="Times New Roman"/>
          <w:color w:val="231F20"/>
          <w:sz w:val="24"/>
          <w:szCs w:val="24"/>
          <w:lang w:val="az-Latn-AZ"/>
        </w:rPr>
        <w:t xml:space="preserve">qeyri-maddi aktiv olduğu pul axını ilə bağlı proqnozdan istifadə etməklə müəyyən edilir. Digər bütün maddi və qeyri-maddi aktivlər </w:t>
      </w:r>
      <w:r w:rsidRPr="009C2EF2">
        <w:rPr>
          <w:rFonts w:ascii="Times New Roman" w:hAnsi="Times New Roman"/>
          <w:i/>
          <w:color w:val="231F20"/>
          <w:sz w:val="24"/>
          <w:szCs w:val="24"/>
          <w:lang w:val="az-Latn-AZ"/>
        </w:rPr>
        <w:t>yaradılmalı, tikilməli və ya icarəyə götürülməlidir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51"/>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5504" behindDoc="0" locked="0" layoutInCell="0" allowOverlap="1">
                <wp:simplePos x="0" y="0"/>
                <wp:positionH relativeFrom="page">
                  <wp:posOffset>5276215</wp:posOffset>
                </wp:positionH>
                <wp:positionV relativeFrom="paragraph">
                  <wp:posOffset>944245</wp:posOffset>
                </wp:positionV>
                <wp:extent cx="152400" cy="2733675"/>
                <wp:effectExtent l="0" t="0" r="0" b="0"/>
                <wp:wrapNone/>
                <wp:docPr id="1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5" type="#_x0000_t202" style="position:absolute;left:0;text-align:left;margin-left:415.45pt;margin-top:74.35pt;width:12pt;height:215.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XD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Qrinfild metodu nəzəri baxımdan izafi mənfəət metoduna bənzəyir. Lakin köməkçi</w:t>
      </w:r>
      <w:r w:rsidR="003C64E0" w:rsidRPr="009C2EF2">
        <w:rPr>
          <w:rFonts w:ascii="Times New Roman" w:hAnsi="Times New Roman"/>
          <w:i/>
          <w:color w:val="231F20"/>
          <w:spacing w:val="-1"/>
          <w:sz w:val="24"/>
          <w:szCs w:val="24"/>
          <w:lang w:val="az-Latn-AZ"/>
        </w:rPr>
        <w:t>aktivlərin</w:t>
      </w:r>
      <w:r w:rsidR="003C64E0" w:rsidRPr="009C2EF2">
        <w:rPr>
          <w:rFonts w:ascii="Times New Roman" w:hAnsi="Times New Roman"/>
          <w:color w:val="231F20"/>
          <w:sz w:val="24"/>
          <w:szCs w:val="24"/>
          <w:lang w:val="az-Latn-AZ"/>
        </w:rPr>
        <w:t>miqdarını əks etdirmək üçün pul vəsaitlərinin axınından köməkçi</w: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z w:val="24"/>
          <w:szCs w:val="24"/>
          <w:lang w:val="az-Latn-AZ"/>
        </w:rPr>
        <w:t>üzrə öhdəlikləri çıxmaq yerinə qrinfild metodu</w:t>
      </w:r>
      <w:r w:rsidR="00A51157" w:rsidRPr="009C2EF2">
        <w:rPr>
          <w:rFonts w:ascii="Times New Roman" w:hAnsi="Times New Roman"/>
          <w:color w:val="231F20"/>
          <w:sz w:val="24"/>
          <w:szCs w:val="24"/>
          <w:lang w:val="az-Latn-AZ"/>
        </w:rPr>
        <w:t xml:space="preserve">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sahibinin iştirak </w:t>
      </w:r>
      <w:r w:rsidR="003C64E0" w:rsidRPr="009C2EF2">
        <w:rPr>
          <w:rFonts w:ascii="Times New Roman" w:hAnsi="Times New Roman"/>
          <w:i/>
          <w:color w:val="231F20"/>
          <w:spacing w:val="-1"/>
          <w:sz w:val="24"/>
          <w:szCs w:val="24"/>
          <w:lang w:val="az-Latn-AZ"/>
        </w:rPr>
        <w:t>paylarının</w:t>
      </w:r>
      <w:r w:rsidR="003C64E0" w:rsidRPr="009C2EF2">
        <w:rPr>
          <w:rFonts w:ascii="Times New Roman" w:hAnsi="Times New Roman"/>
          <w:color w:val="231F20"/>
          <w:sz w:val="24"/>
          <w:szCs w:val="24"/>
          <w:lang w:val="az-Latn-AZ"/>
        </w:rPr>
        <w:t xml:space="preserve"> yaradılmalı, alınmalı və ya icarəyə götürülməli olduğunu nəzərdə tutur. Köməkçi</w:t>
      </w:r>
      <w:r w:rsidR="00A51157" w:rsidRPr="009C2EF2">
        <w:rPr>
          <w:rFonts w:ascii="Times New Roman" w:hAnsi="Times New Roman"/>
          <w:color w:val="231F20"/>
          <w:sz w:val="24"/>
          <w:szCs w:val="24"/>
          <w:lang w:val="az-Latn-AZ"/>
        </w:rPr>
        <w:t xml:space="preserve"> </w:t>
      </w:r>
      <w:r w:rsidR="003C64E0" w:rsidRPr="009C2EF2">
        <w:rPr>
          <w:rFonts w:ascii="Times New Roman" w:hAnsi="Times New Roman"/>
          <w:i/>
          <w:color w:val="231F20"/>
          <w:spacing w:val="-1"/>
          <w:sz w:val="24"/>
          <w:szCs w:val="24"/>
          <w:lang w:val="az-Latn-AZ"/>
        </w:rPr>
        <w:t>aktivləri</w:t>
      </w:r>
      <w:r w:rsidR="003C64E0" w:rsidRPr="009C2EF2">
        <w:rPr>
          <w:rFonts w:ascii="Times New Roman" w:hAnsi="Times New Roman"/>
          <w:color w:val="231F20"/>
          <w:sz w:val="24"/>
          <w:szCs w:val="24"/>
          <w:lang w:val="az-Latn-AZ"/>
        </w:rPr>
        <w:t xml:space="preserve"> yaradarkən və ya alarkən təkrar istehsal xərcləri yerinə ekvivalent vasitə üçün ehtiyat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 dəyərindən istifadə olunur.</w:t>
      </w:r>
    </w:p>
    <w:p w:rsidR="00D02DD9" w:rsidRPr="009C2EF2" w:rsidRDefault="003C64E0">
      <w:pPr>
        <w:pStyle w:val="a3"/>
        <w:numPr>
          <w:ilvl w:val="1"/>
          <w:numId w:val="51"/>
        </w:numPr>
        <w:tabs>
          <w:tab w:val="left" w:pos="681"/>
        </w:tabs>
        <w:kinsoku w:val="0"/>
        <w:overflowPunct w:val="0"/>
        <w:spacing w:line="250" w:lineRule="auto"/>
        <w:ind w:left="680"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Qrinfild metodundan, adətən, françayzinq müqavilələri və yayım dairəsi kimi yardımçı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dəyərini hesablamaq üçün istifadə olunur.</w:t>
      </w:r>
    </w:p>
    <w:p w:rsidR="00D02DD9" w:rsidRPr="009C2EF2" w:rsidRDefault="003C64E0">
      <w:pPr>
        <w:pStyle w:val="a3"/>
        <w:numPr>
          <w:ilvl w:val="1"/>
          <w:numId w:val="51"/>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Qrinfild üsulunun tətbiqi ilə bağlı əsas addımlara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stabilləşdirilmiş səviyyələrə çatmaq üçün lazım olan müddət daxil olmaqla</w:t>
      </w:r>
      <w:r w:rsidR="00A51157"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qiymətləndirmə tarixində müəssisənin sahib olduğu yeganə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hesab edərək müəssisə üçün gəlir, xərclər və dövriyyə kapitalı üzrə xərclərə dair proqnoz hazırlamaq,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2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fəaliyyətini həyata keçirmək üçün lazım olan bütün digər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əldə olunması, yaradılması və ya icarəyə götürülməsi ilə bağlı xərclərin vaxtını və miqdarını qiymətləndirmək,</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üçün müvafiq diskont faiz dərəcəsi tətbiq etməklə yalnız sərəncamda olan qeyri-maddi aktivlər ilə müəssisə ilə bağlı dəyəri müəyyən etmək üçün gələcək pul axınlarının dəyərini müəyyən etmək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qiymətləndirmənin məqsədinə</w:t>
      </w:r>
      <w:r w:rsidRPr="009C2EF2">
        <w:rPr>
          <w:rFonts w:ascii="Times New Roman" w:hAnsi="Times New Roman"/>
          <w:color w:val="231F20"/>
          <w:sz w:val="24"/>
          <w:szCs w:val="24"/>
          <w:lang w:val="az-Latn-AZ"/>
        </w:rPr>
        <w:t xml:space="preserve"> uyğun olduqda (bax: 110.1-110.4-cü bəndlər) qeyri-</w:t>
      </w:r>
      <w:r w:rsidRPr="009C2EF2">
        <w:rPr>
          <w:rFonts w:ascii="Times New Roman" w:hAnsi="Times New Roman"/>
          <w:i/>
          <w:color w:val="231F20"/>
          <w:spacing w:val="-1"/>
          <w:sz w:val="24"/>
          <w:szCs w:val="24"/>
          <w:lang w:val="az-Latn-AZ"/>
        </w:rPr>
        <w:t>maddi</w:t>
      </w:r>
      <w:r w:rsidRPr="009C2EF2">
        <w:rPr>
          <w:rFonts w:ascii="Times New Roman" w:hAnsi="Times New Roman"/>
          <w:color w:val="231F20"/>
          <w:sz w:val="24"/>
          <w:szCs w:val="24"/>
          <w:lang w:val="az-Latn-AZ"/>
        </w:rPr>
        <w:t xml:space="preserve"> aktiv üzrə TAB-ın (vergi amortizasiyası faydası) hesablanması və əlavə edilməsi.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Distribüter metodu</w:t>
      </w:r>
    </w:p>
    <w:p w:rsidR="00D02DD9" w:rsidRPr="009C2EF2" w:rsidRDefault="003C64E0" w:rsidP="00A51157">
      <w:pPr>
        <w:pStyle w:val="a3"/>
        <w:numPr>
          <w:ilvl w:val="1"/>
          <w:numId w:val="51"/>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Bəzən paylama metodu adlanan distribüter metodu müştərilər ilə bağlı qeyri-maddi</w:t>
      </w:r>
      <w:r w:rsidR="00A51157"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aktivləri</w:t>
      </w:r>
      <w:r w:rsidRPr="009C2EF2">
        <w:rPr>
          <w:rFonts w:ascii="Times New Roman" w:hAnsi="Times New Roman"/>
          <w:color w:val="231F20"/>
          <w:sz w:val="24"/>
          <w:szCs w:val="24"/>
          <w:lang w:val="az-Latn-AZ"/>
        </w:rPr>
        <w:t xml:space="preserve"> qiymətləndirmək üçün istifadə olunan bir neçə dövr üzrə izafi mənfəət üsulunun bir növüdür. Distribüter üsulunun əsasını təşkil edən nəzəriyyə ondan ibarətdir ki, fərqli funksiyaları özündə cəmləşdirən müəssisələrdən hər bir funksiya ilə bağlı mənfəət qazanmaq gözlənilir. Distribüterlər ümumilikdə istehsal fəaliyyəti və ya əqli mülkiyyətin yaradılması əvəzinə yalnız məhsulların müştərilərə paylanılması ilə bağlı funksiyaları icra etdiklərinə görə distribüterlərin qazandığı mənfəətin marjası ilə bağlı məlumatdan</w:t>
      </w:r>
      <w:r w:rsidR="00A51157" w:rsidRPr="009C2EF2">
        <w:rPr>
          <w:rFonts w:ascii="Times New Roman" w:hAnsi="Times New Roman"/>
          <w:color w:val="231F20"/>
          <w:sz w:val="24"/>
          <w:szCs w:val="24"/>
          <w:lang w:val="az-Latn-AZ"/>
        </w:rPr>
        <w:t xml:space="preserve"> </w:t>
      </w:r>
      <w:r w:rsidR="00C11094" w:rsidRPr="009C2EF2">
        <w:rPr>
          <w:rFonts w:ascii="Times New Roman" w:hAnsi="Times New Roman"/>
          <w:color w:val="231F20"/>
          <w:sz w:val="24"/>
          <w:szCs w:val="24"/>
          <w:lang w:val="az-Latn-AZ"/>
        </w:rPr>
        <w:t>müştəri</w:t>
      </w:r>
      <w:r w:rsidRPr="009C2EF2">
        <w:rPr>
          <w:rFonts w:ascii="Times New Roman" w:hAnsi="Times New Roman"/>
          <w:color w:val="231F20"/>
          <w:sz w:val="24"/>
          <w:szCs w:val="24"/>
          <w:lang w:val="az-Latn-AZ"/>
        </w:rPr>
        <w:t xml:space="preserve">yönümlü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üzrə izafi mənfəəti hesablamaq üçün istifadə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1"/>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Distribüter üsulu digər bir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(məsələn, texnologiya və ya marka) əsas və ya ən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hesab olunduqda və onun dəyəri bir neçə dövr üzrə izafi mənfəət üsul</w:t>
      </w:r>
      <w:r w:rsidR="00C11094" w:rsidRPr="009C2EF2">
        <w:rPr>
          <w:rFonts w:ascii="Times New Roman" w:hAnsi="Times New Roman"/>
          <w:color w:val="231F20"/>
          <w:sz w:val="24"/>
          <w:szCs w:val="24"/>
          <w:lang w:val="az-Latn-AZ"/>
        </w:rPr>
        <w:t>u ilə müəyyən edildikdə müştəri</w:t>
      </w:r>
      <w:r w:rsidRPr="009C2EF2">
        <w:rPr>
          <w:rFonts w:ascii="Times New Roman" w:hAnsi="Times New Roman"/>
          <w:color w:val="231F20"/>
          <w:sz w:val="24"/>
          <w:szCs w:val="24"/>
          <w:lang w:val="az-Latn-AZ"/>
        </w:rPr>
        <w:t xml:space="preserve">yönümlü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dəyərini müəyyən etmək üçün müvafiq hesab edilir.</w:t>
      </w: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67</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7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5312" behindDoc="1" locked="0" layoutInCell="0" allowOverlap="1">
                <wp:simplePos x="0" y="0"/>
                <wp:positionH relativeFrom="page">
                  <wp:posOffset>0</wp:posOffset>
                </wp:positionH>
                <wp:positionV relativeFrom="page">
                  <wp:posOffset>0</wp:posOffset>
                </wp:positionV>
                <wp:extent cx="432435" cy="8424545"/>
                <wp:effectExtent l="0" t="0" r="0" b="0"/>
                <wp:wrapNone/>
                <wp:docPr id="116"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80B2CB" id="Freeform 153" o:spid="_x0000_s1026" style="position:absolute;margin-left:0;margin-top:0;width:34.05pt;height:663.3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CmsbmhiAwAAhg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51"/>
        </w:numPr>
        <w:tabs>
          <w:tab w:val="left" w:pos="1531"/>
        </w:tabs>
        <w:kinsoku w:val="0"/>
        <w:overflowPunct w:val="0"/>
        <w:spacing w:before="77"/>
        <w:rPr>
          <w:rFonts w:ascii="Times New Roman" w:hAnsi="Times New Roman"/>
          <w:color w:val="000000"/>
          <w:sz w:val="24"/>
          <w:szCs w:val="24"/>
          <w:lang w:val="az-Latn-AZ"/>
        </w:rPr>
      </w:pPr>
      <w:r w:rsidRPr="009C2EF2">
        <w:rPr>
          <w:rFonts w:ascii="Times New Roman" w:hAnsi="Times New Roman"/>
          <w:color w:val="231F20"/>
          <w:sz w:val="24"/>
          <w:szCs w:val="24"/>
          <w:lang w:val="az-Latn-AZ"/>
        </w:rPr>
        <w:t>Distribüter üsulunun tətbiqi ilə bağlı əsas addımlara aşağıdakılar 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75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mövcud müştəri əlaqələri ilə bağlı gəlir proqnozun hazırlanması Bu, müştəri itkisinin təsirləri ilə yanaşı mövcud müştərilərdən əldə olunan gəlirin həcmində gözlənilən artımı </w:t>
      </w:r>
      <w:r w:rsidRPr="009C2EF2">
        <w:rPr>
          <w:rFonts w:ascii="Times New Roman" w:hAnsi="Times New Roman"/>
          <w:i/>
          <w:color w:val="231F20"/>
          <w:spacing w:val="1"/>
          <w:sz w:val="24"/>
          <w:szCs w:val="24"/>
          <w:lang w:val="az-Latn-AZ"/>
        </w:rPr>
        <w:t xml:space="preserve">əks etdirməlidir </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müəssisə ilə bənzər müştəri əlaqələrinə malik müqayisə edilə bilən distribüterləri müəyyən etmək və həmin distribüterlərin əldə etdiyi mənfəətin marjasını hesablamaq,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distribüterin mənfəət marjasını proqnozlaşdırılan gəlirə tətbiq etmək</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pPr>
        <w:pStyle w:val="a3"/>
        <w:numPr>
          <w:ilvl w:val="2"/>
          <w:numId w:val="51"/>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6528" behindDoc="0" locked="0" layoutInCell="0" allowOverlap="1">
                <wp:simplePos x="0" y="0"/>
                <wp:positionH relativeFrom="page">
                  <wp:posOffset>151130</wp:posOffset>
                </wp:positionH>
                <wp:positionV relativeFrom="paragraph">
                  <wp:posOffset>800100</wp:posOffset>
                </wp:positionV>
                <wp:extent cx="152400" cy="2733675"/>
                <wp:effectExtent l="0" t="0" r="0" b="0"/>
                <wp:wrapNone/>
                <wp:docPr id="1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6" type="#_x0000_t202" style="position:absolute;left:0;text-align:left;margin-left:11.9pt;margin-top:63pt;width:12pt;height:215.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6TsgIAALg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pacing w:val="1"/>
          <w:sz w:val="24"/>
          <w:szCs w:val="24"/>
          <w:lang w:val="az-Latn-AZ"/>
        </w:rPr>
        <w:t>planlaşdırılan gəlir və xərclərə nail olmaq üçün lazım olan paylama funksiyasını icra etmək ilə bağlı köməkçi</w:t>
      </w:r>
      <w:r w:rsidR="00A51157"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z w:val="24"/>
          <w:szCs w:val="24"/>
          <w:lang w:val="az-Latn-AZ"/>
        </w:rPr>
        <w:t>aktivləri</w:t>
      </w:r>
      <w:r w:rsidR="00A51157"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pacing w:val="1"/>
          <w:sz w:val="24"/>
          <w:szCs w:val="24"/>
          <w:lang w:val="az-Latn-AZ"/>
        </w:rPr>
        <w:t>müəyyən etmək. Ümumilikdə distribüterin köməkçi</w:t>
      </w:r>
      <w:r w:rsidR="00A51157"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z w:val="24"/>
          <w:szCs w:val="24"/>
          <w:lang w:val="az-Latn-AZ"/>
        </w:rPr>
        <w:t>aktivlərinə</w:t>
      </w:r>
      <w:r w:rsidR="00A51157"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pacing w:val="1"/>
          <w:sz w:val="24"/>
          <w:szCs w:val="24"/>
          <w:lang w:val="az-Latn-AZ"/>
        </w:rPr>
        <w:t xml:space="preserve">dövriyyə kapitalı, əsas </w:t>
      </w:r>
      <w:r w:rsidR="003C64E0" w:rsidRPr="009C2EF2">
        <w:rPr>
          <w:rFonts w:ascii="Times New Roman" w:hAnsi="Times New Roman"/>
          <w:i/>
          <w:color w:val="231F20"/>
          <w:sz w:val="24"/>
          <w:szCs w:val="24"/>
          <w:lang w:val="az-Latn-AZ"/>
        </w:rPr>
        <w:t>vəsaitlər</w:t>
      </w:r>
      <w:r w:rsidR="00A51157"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pacing w:val="1"/>
          <w:sz w:val="24"/>
          <w:szCs w:val="24"/>
          <w:lang w:val="az-Latn-AZ"/>
        </w:rPr>
        <w:t xml:space="preserve">və işçi qüvvəsi daxildir. Lakin distribüterlər bəzən ticarət nişanları və ya texnologiya kimi digər </w:t>
      </w:r>
      <w:r w:rsidR="003C64E0" w:rsidRPr="009C2EF2">
        <w:rPr>
          <w:rFonts w:ascii="Times New Roman" w:hAnsi="Times New Roman"/>
          <w:i/>
          <w:color w:val="231F20"/>
          <w:spacing w:val="-1"/>
          <w:sz w:val="24"/>
          <w:szCs w:val="24"/>
          <w:lang w:val="az-Latn-AZ"/>
        </w:rPr>
        <w:t xml:space="preserve">aktivləri </w:t>
      </w:r>
      <w:r w:rsidR="003C64E0" w:rsidRPr="009C2EF2">
        <w:rPr>
          <w:rFonts w:ascii="Times New Roman" w:hAnsi="Times New Roman"/>
          <w:color w:val="231F20"/>
          <w:spacing w:val="1"/>
          <w:sz w:val="24"/>
          <w:szCs w:val="24"/>
          <w:lang w:val="az-Latn-AZ"/>
        </w:rPr>
        <w:t>tələb edirlər. Tələb olunan köməkçi</w:t>
      </w:r>
      <w:r w:rsidR="00A51157"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z w:val="24"/>
          <w:szCs w:val="24"/>
          <w:lang w:val="az-Latn-AZ"/>
        </w:rPr>
        <w:t>aktivlərin</w:t>
      </w:r>
      <w:r w:rsidR="00A51157" w:rsidRPr="009C2EF2">
        <w:rPr>
          <w:rFonts w:ascii="Times New Roman" w:hAnsi="Times New Roman"/>
          <w:i/>
          <w:color w:val="231F20"/>
          <w:sz w:val="24"/>
          <w:szCs w:val="24"/>
          <w:lang w:val="az-Latn-AZ"/>
        </w:rPr>
        <w:t xml:space="preserve"> </w:t>
      </w:r>
      <w:r w:rsidR="003C64E0" w:rsidRPr="009C2EF2">
        <w:rPr>
          <w:rFonts w:ascii="Times New Roman" w:hAnsi="Times New Roman"/>
          <w:color w:val="231F20"/>
          <w:spacing w:val="1"/>
          <w:sz w:val="24"/>
          <w:szCs w:val="24"/>
          <w:lang w:val="az-Latn-AZ"/>
        </w:rPr>
        <w:t xml:space="preserve">səviyyəsi, həmçinin, yalnız bir paylama funksiyasını icra edən </w:t>
      </w:r>
      <w:r w:rsidR="003C64E0" w:rsidRPr="009C2EF2">
        <w:rPr>
          <w:rFonts w:ascii="Times New Roman" w:hAnsi="Times New Roman"/>
          <w:i/>
          <w:color w:val="231F20"/>
          <w:sz w:val="24"/>
          <w:szCs w:val="24"/>
          <w:lang w:val="az-Latn-AZ"/>
        </w:rPr>
        <w:t xml:space="preserve">iştirakçılara </w:t>
      </w:r>
      <w:r w:rsidR="003C64E0" w:rsidRPr="009C2EF2">
        <w:rPr>
          <w:rFonts w:ascii="Times New Roman" w:hAnsi="Times New Roman"/>
          <w:color w:val="231F20"/>
          <w:spacing w:val="1"/>
          <w:sz w:val="24"/>
          <w:szCs w:val="24"/>
          <w:lang w:val="az-Latn-AZ"/>
        </w:rPr>
        <w:t>uyğun olmalıdır.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hər bir köməkçi</w:t>
      </w:r>
      <w:r w:rsidR="00A51157"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 xml:space="preserve"> üzrə müvafiq gəlirlilik faizini həmin  </w:t>
      </w:r>
    </w:p>
    <w:p w:rsidR="00D02DD9" w:rsidRPr="009C2EF2" w:rsidRDefault="003C64E0">
      <w:pPr>
        <w:pStyle w:val="a3"/>
        <w:kinsoku w:val="0"/>
        <w:overflowPunct w:val="0"/>
        <w:spacing w:before="9"/>
        <w:ind w:left="1814"/>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aktivlə</w:t>
      </w:r>
      <w:r w:rsidRPr="009C2EF2">
        <w:rPr>
          <w:rFonts w:ascii="Times New Roman" w:hAnsi="Times New Roman"/>
          <w:color w:val="231F20"/>
          <w:sz w:val="24"/>
          <w:szCs w:val="24"/>
          <w:lang w:val="az-Latn-AZ"/>
        </w:rPr>
        <w:t xml:space="preserve"> bağlı qiymətləndirməyə əsaslanaraq müəyyən etmək,</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yalnız qeyri-maddi </w:t>
      </w:r>
      <w:r w:rsidRPr="009C2EF2">
        <w:rPr>
          <w:rFonts w:ascii="Times New Roman" w:hAnsi="Times New Roman"/>
          <w:i/>
          <w:color w:val="231F20"/>
          <w:spacing w:val="-1"/>
          <w:sz w:val="24"/>
          <w:szCs w:val="24"/>
          <w:lang w:val="az-Latn-AZ"/>
        </w:rPr>
        <w:t>aktiv</w:t>
      </w:r>
      <w:r w:rsidRPr="009C2EF2">
        <w:rPr>
          <w:rFonts w:ascii="Times New Roman" w:hAnsi="Times New Roman"/>
          <w:color w:val="231F20"/>
          <w:sz w:val="24"/>
          <w:szCs w:val="24"/>
          <w:lang w:val="az-Latn-AZ"/>
        </w:rPr>
        <w:t xml:space="preserve"> ilə bağlı izafi mənfəəti əldə etmək üçün hər bir proqnozlaşdırılan dövrdə distribüter üçün proqnoz edilmiş mənfəətdən köməkçi</w:t>
      </w:r>
      <w:r w:rsidR="00C11094"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aktivlər</w:t>
      </w:r>
      <w:r w:rsidR="00C11094" w:rsidRPr="009C2EF2">
        <w:rPr>
          <w:rFonts w:ascii="Times New Roman" w:hAnsi="Times New Roman"/>
          <w:i/>
          <w:color w:val="231F20"/>
          <w:sz w:val="24"/>
          <w:szCs w:val="24"/>
          <w:lang w:val="az-Latn-AZ"/>
        </w:rPr>
        <w:t xml:space="preserve"> </w:t>
      </w:r>
      <w:r w:rsidRPr="009C2EF2">
        <w:rPr>
          <w:rFonts w:ascii="Times New Roman" w:hAnsi="Times New Roman"/>
          <w:color w:val="231F20"/>
          <w:sz w:val="24"/>
          <w:szCs w:val="24"/>
          <w:lang w:val="az-Latn-AZ"/>
        </w:rPr>
        <w:t>üzrə tələb olunan gəlirləri çıxmaq,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2"/>
          <w:numId w:val="51"/>
        </w:numPr>
        <w:tabs>
          <w:tab w:val="left" w:pos="1815"/>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aktiv</w:t>
      </w:r>
      <w:r w:rsidRPr="009C2EF2">
        <w:rPr>
          <w:rFonts w:ascii="Times New Roman" w:hAnsi="Times New Roman"/>
          <w:color w:val="231F20"/>
          <w:sz w:val="24"/>
          <w:szCs w:val="24"/>
          <w:lang w:val="az-Latn-AZ"/>
        </w:rPr>
        <w:t xml:space="preserve"> ilə bağlı müvafiq diskont faiz dərəcəsinin müəyyənləşdirilməsi</w:t>
      </w:r>
      <w:r w:rsidR="00C11094"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və izafi mənfəətin dəyərini müəyyən etmək və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51"/>
        </w:numPr>
        <w:tabs>
          <w:tab w:val="left" w:pos="1815"/>
        </w:tabs>
        <w:kinsoku w:val="0"/>
        <w:overflowPunct w:val="0"/>
        <w:spacing w:line="250" w:lineRule="auto"/>
        <w:ind w:left="1814" w:right="1461"/>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qiymətləndirmənin məqsədinə</w:t>
      </w:r>
      <w:r w:rsidRPr="009C2EF2">
        <w:rPr>
          <w:rFonts w:ascii="Times New Roman" w:hAnsi="Times New Roman"/>
          <w:color w:val="231F20"/>
          <w:sz w:val="24"/>
          <w:szCs w:val="24"/>
          <w:lang w:val="az-Latn-AZ"/>
        </w:rPr>
        <w:t xml:space="preserve"> uyğun olduqda (bax: 110.1-110.4-cü bəndlər) qeyri-</w:t>
      </w:r>
      <w:r w:rsidRPr="009C2EF2">
        <w:rPr>
          <w:rFonts w:ascii="Times New Roman" w:hAnsi="Times New Roman"/>
          <w:i/>
          <w:color w:val="231F20"/>
          <w:spacing w:val="-1"/>
          <w:sz w:val="24"/>
          <w:szCs w:val="24"/>
          <w:lang w:val="az-Latn-AZ"/>
        </w:rPr>
        <w:t>maddi</w:t>
      </w:r>
      <w:r w:rsidRPr="009C2EF2">
        <w:rPr>
          <w:rFonts w:ascii="Times New Roman" w:hAnsi="Times New Roman"/>
          <w:color w:val="231F20"/>
          <w:sz w:val="24"/>
          <w:szCs w:val="24"/>
          <w:lang w:val="az-Latn-AZ"/>
        </w:rPr>
        <w:t xml:space="preserve"> aktiv üzrə TAB-ın </w:t>
      </w:r>
      <w:r w:rsidRPr="009C2EF2">
        <w:rPr>
          <w:rFonts w:ascii="Times New Roman" w:hAnsi="Times New Roman"/>
          <w:color w:val="231F20"/>
          <w:sz w:val="24"/>
          <w:szCs w:val="24"/>
          <w:lang w:val="az-Latn-AZ"/>
        </w:rPr>
        <w:lastRenderedPageBreak/>
        <w:t xml:space="preserve">(vergi amortizasiyası faydası) hesablanması və əlavə edilməsi.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0"/>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pPr>
        <w:pStyle w:val="a3"/>
        <w:numPr>
          <w:ilvl w:val="1"/>
          <w:numId w:val="50"/>
        </w:numPr>
        <w:tabs>
          <w:tab w:val="left" w:pos="1531"/>
        </w:tabs>
        <w:kinsoku w:val="0"/>
        <w:overflowPunct w:val="0"/>
        <w:spacing w:before="122" w:line="250" w:lineRule="auto"/>
        <w:ind w:right="158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yanaşmasının tətbiqi zamanı hər hansı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dəyəri ona bənzər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və ya onunla oxşar xidmət potensialına malik</w:t>
      </w:r>
      <w:r w:rsidR="00C11094"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əvəzetmə üzrə xərcinə əsaslanmaqla müəyyən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0"/>
        </w:numPr>
        <w:tabs>
          <w:tab w:val="left" w:pos="1531"/>
        </w:tabs>
        <w:kinsoku w:val="0"/>
        <w:overflowPunct w:val="0"/>
        <w:spacing w:line="250" w:lineRule="auto"/>
        <w:ind w:right="17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Qiymətləndiricilər qeyri-maddi </w:t>
      </w:r>
      <w:r w:rsidRPr="009C2EF2">
        <w:rPr>
          <w:rFonts w:ascii="Times New Roman" w:hAnsi="Times New Roman"/>
          <w:i/>
          <w:color w:val="231F20"/>
          <w:spacing w:val="-1"/>
          <w:sz w:val="24"/>
          <w:szCs w:val="24"/>
          <w:lang w:val="az-Latn-AZ"/>
        </w:rPr>
        <w:t>aktivlərin</w:t>
      </w:r>
      <w:r w:rsidRPr="009C2EF2">
        <w:rPr>
          <w:rFonts w:ascii="Times New Roman" w:hAnsi="Times New Roman"/>
          <w:color w:val="231F20"/>
          <w:spacing w:val="1"/>
          <w:sz w:val="24"/>
          <w:szCs w:val="24"/>
          <w:lang w:val="az-Latn-AZ"/>
        </w:rPr>
        <w:t xml:space="preserve"> qiymətləndirilməsi zamanı xərc yanaşmasının tətbiq edilib edilməməsini müəyyən edərkən BQS 105 </w:t>
      </w:r>
      <w:r w:rsidRPr="009C2EF2">
        <w:rPr>
          <w:rFonts w:ascii="Times New Roman" w:hAnsi="Times New Roman"/>
          <w:i/>
          <w:color w:val="231F20"/>
          <w:spacing w:val="-1"/>
          <w:sz w:val="24"/>
          <w:szCs w:val="24"/>
          <w:lang w:val="az-Latn-AZ"/>
        </w:rPr>
        <w:t xml:space="preserve">Qiymətləndirmə Yanaşmaları və Üsulları </w:t>
      </w:r>
      <w:r w:rsidRPr="009C2EF2">
        <w:rPr>
          <w:rFonts w:ascii="Times New Roman" w:hAnsi="Times New Roman"/>
          <w:color w:val="231F20"/>
          <w:spacing w:val="1"/>
          <w:sz w:val="24"/>
          <w:szCs w:val="24"/>
          <w:lang w:val="az-Latn-AZ"/>
        </w:rPr>
        <w:t xml:space="preserve"> bölməsinin 60.2 və 60.3-cü bəndlərinə </w:t>
      </w:r>
      <w:r w:rsidRPr="009C2EF2">
        <w:rPr>
          <w:rFonts w:ascii="Times New Roman" w:hAnsi="Times New Roman"/>
          <w:i/>
          <w:color w:val="231F20"/>
          <w:spacing w:val="-1"/>
          <w:sz w:val="24"/>
          <w:szCs w:val="24"/>
          <w:lang w:val="az-Latn-AZ"/>
        </w:rPr>
        <w:t>əməl etməlidirlər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0"/>
        </w:numPr>
        <w:tabs>
          <w:tab w:val="left" w:pos="1531"/>
        </w:tabs>
        <w:kinsoku w:val="0"/>
        <w:overflowPunct w:val="0"/>
        <w:spacing w:line="250" w:lineRule="auto"/>
        <w:ind w:right="16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w:t>
      </w:r>
      <w:r w:rsidR="00A51157" w:rsidRPr="009C2EF2">
        <w:rPr>
          <w:rFonts w:ascii="Times New Roman" w:hAnsi="Times New Roman"/>
          <w:color w:val="231F20"/>
          <w:sz w:val="24"/>
          <w:szCs w:val="24"/>
          <w:lang w:val="az-Latn-AZ"/>
        </w:rPr>
        <w:t>meyarlara</w:t>
      </w:r>
      <w:r w:rsidRPr="009C2EF2">
        <w:rPr>
          <w:rFonts w:ascii="Times New Roman" w:hAnsi="Times New Roman"/>
          <w:color w:val="231F20"/>
          <w:sz w:val="24"/>
          <w:szCs w:val="24"/>
          <w:lang w:val="az-Latn-AZ"/>
        </w:rPr>
        <w:t xml:space="preserve"> müvafiq olaraq, xərc yanaşması aşağıdakı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ilə bağlı geniş şəkildə istifadə olunur:</w:t>
      </w:r>
    </w:p>
    <w:p w:rsidR="00D02DD9" w:rsidRPr="009C2EF2" w:rsidRDefault="003C64E0">
      <w:pPr>
        <w:pStyle w:val="a3"/>
        <w:numPr>
          <w:ilvl w:val="2"/>
          <w:numId w:val="50"/>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əldə edilmiş üçüncü tərəf proqram təminatı,</w:t>
      </w:r>
    </w:p>
    <w:p w:rsidR="00D02DD9" w:rsidRPr="009C2EF2" w:rsidRDefault="003C64E0">
      <w:pPr>
        <w:pStyle w:val="a3"/>
        <w:numPr>
          <w:ilvl w:val="2"/>
          <w:numId w:val="50"/>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daxilində yaradılmış və istifadə edilən, satış üçün nəzərdə tutulmayan proqram təminatı və</w:t>
      </w:r>
    </w:p>
    <w:p w:rsidR="00D02DD9" w:rsidRPr="009C2EF2" w:rsidRDefault="003C64E0">
      <w:pPr>
        <w:pStyle w:val="a3"/>
        <w:numPr>
          <w:ilvl w:val="2"/>
          <w:numId w:val="50"/>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toplanmış işçi qüvvəsi.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50"/>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Digər heç bir üsul tətbiq oluna bilmədiyi təqdirdə xərc yanaşmasından istifadə oluna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z w:val="24"/>
          <w:szCs w:val="24"/>
          <w:lang w:val="az-Latn-AZ"/>
        </w:rPr>
        <w:t xml:space="preserve">; lakin qiymətləndirici müəyyən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BQS 105 Qiymətləndirmə Yanaşmaları və Üsulları</w:t>
      </w:r>
      <w:r w:rsidRPr="009C2EF2">
        <w:rPr>
          <w:rFonts w:ascii="Times New Roman" w:hAnsi="Times New Roman"/>
          <w:color w:val="231F20"/>
          <w:sz w:val="24"/>
          <w:szCs w:val="24"/>
          <w:lang w:val="az-Latn-AZ"/>
        </w:rPr>
        <w:t xml:space="preserve"> bölməsinin 60.2 və 60.3-cü bəndlərin</w:t>
      </w:r>
      <w:r w:rsidR="00A51157" w:rsidRPr="009C2EF2">
        <w:rPr>
          <w:rFonts w:ascii="Times New Roman" w:hAnsi="Times New Roman"/>
          <w:color w:val="231F20"/>
          <w:sz w:val="24"/>
          <w:szCs w:val="24"/>
          <w:lang w:val="az-Latn-AZ"/>
        </w:rPr>
        <w:t xml:space="preserve">də nəzərdə tutulan </w:t>
      </w:r>
      <w:r w:rsidRPr="009C2EF2">
        <w:rPr>
          <w:rFonts w:ascii="Times New Roman" w:hAnsi="Times New Roman"/>
          <w:color w:val="231F20"/>
          <w:sz w:val="24"/>
          <w:szCs w:val="24"/>
          <w:lang w:val="az-Latn-AZ"/>
        </w:rPr>
        <w:t xml:space="preserve"> uyğun olmadığı hallarda xərc yanaşmasını tətbiq etməzdən öncə alternativ üsul tapmağa </w:t>
      </w:r>
      <w:r w:rsidRPr="009C2EF2">
        <w:rPr>
          <w:rFonts w:ascii="Times New Roman" w:hAnsi="Times New Roman"/>
          <w:i/>
          <w:color w:val="231F20"/>
          <w:sz w:val="24"/>
          <w:szCs w:val="24"/>
          <w:lang w:val="az-Latn-AZ"/>
        </w:rPr>
        <w:t xml:space="preserve">çalışmalıdır </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68</w:t>
      </w:r>
    </w:p>
    <w:p w:rsidR="00D02DD9" w:rsidRPr="009C2EF2" w:rsidRDefault="00D02DD9">
      <w:pPr>
        <w:pStyle w:val="a3"/>
        <w:kinsoku w:val="0"/>
        <w:overflowPunct w:val="0"/>
        <w:ind w:left="4185" w:right="4349"/>
        <w:jc w:val="center"/>
        <w:rPr>
          <w:rFonts w:ascii="Times New Roman" w:hAnsi="Times New Roman"/>
          <w:color w:val="000000"/>
          <w:sz w:val="24"/>
          <w:szCs w:val="24"/>
          <w:lang w:val="az-Latn-AZ"/>
        </w:rPr>
        <w:sectPr w:rsidR="00D02DD9" w:rsidRPr="009C2EF2">
          <w:footerReference w:type="default" r:id="rId7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6336" behindDoc="1" locked="0" layoutInCell="0" allowOverlap="1">
                <wp:simplePos x="0" y="0"/>
                <wp:positionH relativeFrom="page">
                  <wp:posOffset>5183505</wp:posOffset>
                </wp:positionH>
                <wp:positionV relativeFrom="page">
                  <wp:posOffset>0</wp:posOffset>
                </wp:positionV>
                <wp:extent cx="431800" cy="8423910"/>
                <wp:effectExtent l="0" t="0" r="0" b="0"/>
                <wp:wrapNone/>
                <wp:docPr id="11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8F7143" id="Freeform 155" o:spid="_x0000_s1026" style="position:absolute;margin-left:408.15pt;margin-top:0;width:34pt;height:663.3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83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dy+/N3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50"/>
        </w:numPr>
        <w:tabs>
          <w:tab w:val="left" w:pos="681"/>
        </w:tabs>
        <w:kinsoku w:val="0"/>
        <w:overflowPunct w:val="0"/>
        <w:spacing w:before="77"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yanaşmasının tətbiqi zamanı iki əsas üsuldan geniş şəkildə istifadə olunur: əvəzetmə xərci və təkrar istehsal xərci. Lakin bir çox qeyri-maddi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təkrar istehsal edilə bilən fiziki formaya malik deyil və proqram təminatı kimi bərpa edilə bilən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dəyəri ümumilikdə onların dəqiq sətirlərinə deyil, funksiyalarına əsaslanır.  Ona görə də, əvəzetmə xərci qeyri-maddi </w:t>
      </w:r>
      <w:r w:rsidRPr="009C2EF2">
        <w:rPr>
          <w:rFonts w:ascii="Times New Roman" w:hAnsi="Times New Roman"/>
          <w:i/>
          <w:color w:val="231F20"/>
          <w:spacing w:val="-1"/>
          <w:sz w:val="24"/>
          <w:szCs w:val="24"/>
          <w:lang w:val="az-Latn-AZ"/>
        </w:rPr>
        <w:t>aktivlərin</w:t>
      </w:r>
      <w:r w:rsidRPr="009C2EF2">
        <w:rPr>
          <w:rFonts w:ascii="Times New Roman" w:hAnsi="Times New Roman"/>
          <w:color w:val="231F20"/>
          <w:sz w:val="24"/>
          <w:szCs w:val="24"/>
          <w:lang w:val="az-Latn-AZ"/>
        </w:rPr>
        <w:t xml:space="preserve"> dəyərləndirilməsi zamanı daha çox tətbiq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50"/>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Əvəzetmə xərci üsuluna əsasən, hər hansı </w:t>
      </w:r>
      <w:r w:rsidRPr="009C2EF2">
        <w:rPr>
          <w:rFonts w:ascii="Times New Roman" w:hAnsi="Times New Roman"/>
          <w:i/>
          <w:color w:val="231F20"/>
          <w:spacing w:val="1"/>
          <w:sz w:val="24"/>
          <w:szCs w:val="24"/>
          <w:lang w:val="az-Latn-AZ"/>
        </w:rPr>
        <w:t xml:space="preserve">iştirakçı </w:t>
      </w:r>
      <w:r w:rsidRPr="009C2EF2">
        <w:rPr>
          <w:rFonts w:ascii="Times New Roman" w:hAnsi="Times New Roman"/>
          <w:color w:val="231F20"/>
          <w:sz w:val="24"/>
          <w:szCs w:val="24"/>
          <w:lang w:val="az-Latn-AZ"/>
        </w:rPr>
        <w:t xml:space="preserve"> müəyyən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onunla müqayisə edilə bilən funksiyaya malik başqa </w:t>
      </w:r>
      <w:r w:rsidRPr="009C2EF2">
        <w:rPr>
          <w:rFonts w:ascii="Times New Roman" w:hAnsi="Times New Roman"/>
          <w:i/>
          <w:color w:val="231F20"/>
          <w:sz w:val="24"/>
          <w:szCs w:val="24"/>
          <w:lang w:val="az-Latn-AZ"/>
        </w:rPr>
        <w:t xml:space="preserve">aktivlə </w:t>
      </w:r>
      <w:r w:rsidRPr="009C2EF2">
        <w:rPr>
          <w:rFonts w:ascii="Times New Roman" w:hAnsi="Times New Roman"/>
          <w:color w:val="231F20"/>
          <w:sz w:val="24"/>
          <w:szCs w:val="24"/>
          <w:lang w:val="az-Latn-AZ"/>
        </w:rPr>
        <w:t>əvəz edən zaman yaranan xərc xaricində heç bir əlavə ödəniş etməməlidir.</w:t>
      </w:r>
    </w:p>
    <w:p w:rsidR="00D02DD9" w:rsidRPr="009C2EF2" w:rsidRDefault="003C64E0">
      <w:pPr>
        <w:pStyle w:val="a3"/>
        <w:numPr>
          <w:ilvl w:val="1"/>
          <w:numId w:val="50"/>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Əvəzetmə xərci üsulunu tətbiq edərkən  </w:t>
      </w:r>
      <w:r w:rsidRPr="009C2EF2">
        <w:rPr>
          <w:rFonts w:ascii="Times New Roman" w:hAnsi="Times New Roman"/>
          <w:i/>
          <w:color w:val="231F20"/>
          <w:spacing w:val="-1"/>
          <w:sz w:val="24"/>
          <w:szCs w:val="24"/>
          <w:lang w:val="az-Latn-AZ"/>
        </w:rPr>
        <w:t xml:space="preserve">qiymətləndiricilər aşağıdakıları nəzərə almalıdırlar </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0"/>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Aktivin</w:t>
      </w:r>
      <w:r w:rsidRPr="009C2EF2">
        <w:rPr>
          <w:rFonts w:ascii="Times New Roman" w:hAnsi="Times New Roman"/>
          <w:color w:val="231F20"/>
          <w:sz w:val="24"/>
          <w:szCs w:val="24"/>
          <w:lang w:val="az-Latn-AZ"/>
        </w:rPr>
        <w:t xml:space="preserve"> xüsusiyyətinin əvəz edilməsi ilə bağlı birbaşa və dolayı xərclər, o cümlədən əmək, materiallar və ümumi məsrəflər,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50"/>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7552" behindDoc="0" locked="0" layoutInCell="0" allowOverlap="1">
                <wp:simplePos x="0" y="0"/>
                <wp:positionH relativeFrom="page">
                  <wp:posOffset>5276215</wp:posOffset>
                </wp:positionH>
                <wp:positionV relativeFrom="paragraph">
                  <wp:posOffset>114300</wp:posOffset>
                </wp:positionV>
                <wp:extent cx="152400" cy="2733675"/>
                <wp:effectExtent l="0" t="0" r="0" b="0"/>
                <wp:wrapNone/>
                <wp:docPr id="1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07" type="#_x0000_t202" style="position:absolute;left:0;text-align:left;margin-left:415.45pt;margin-top:9pt;width:12pt;height:215.2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ansAIAALU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qeyri-maddi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köhnəlməyə məruz qalıb qalmaması. Funksional və ya fiziki cəhətdən köhnəlmənin müşahidə olunmadığı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iqtisadi köhnəlməyə məruz qala bilərlər,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C3E3E">
      <w:pPr>
        <w:pStyle w:val="a3"/>
        <w:numPr>
          <w:ilvl w:val="2"/>
          <w:numId w:val="50"/>
        </w:numPr>
        <w:tabs>
          <w:tab w:val="left" w:pos="965"/>
        </w:tabs>
        <w:kinsoku w:val="0"/>
        <w:overflowPunct w:val="0"/>
        <w:spacing w:line="250" w:lineRule="auto"/>
        <w:ind w:left="964" w:right="90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əsas xərclər üzrə mənfəət artımını daxil etmək üçün uyğun olub olmaması. Üçüncü tərəfdən əldə olunmuş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investisiya üzrə gəliri təmin etmək üçün gəlirin müəyyən forması ilə yanaşı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yaratmaq ilə bağlı onların xərclərini əks etdirir. Belə ki, hipotetik əməliyyat ilə bağlı dəyər bazalarına (bax: BQS 104 Dəyər Bazaları) əsasən xərclər üzrə nəzərdə tutulan gəlir artımını daxil etmək müvafiq </w:t>
      </w:r>
      <w:r w:rsidRPr="009C2EF2">
        <w:rPr>
          <w:rFonts w:ascii="Times New Roman" w:hAnsi="Times New Roman"/>
          <w:i/>
          <w:color w:val="231F20"/>
          <w:spacing w:val="-1"/>
          <w:sz w:val="24"/>
          <w:szCs w:val="24"/>
          <w:lang w:val="az-Latn-AZ"/>
        </w:rPr>
        <w:t xml:space="preserve">ola bilər </w:t>
      </w:r>
      <w:r w:rsidRPr="009C2EF2">
        <w:rPr>
          <w:rFonts w:ascii="Times New Roman" w:hAnsi="Times New Roman"/>
          <w:color w:val="231F20"/>
          <w:sz w:val="24"/>
          <w:szCs w:val="24"/>
          <w:lang w:val="az-Latn-AZ"/>
        </w:rPr>
        <w:t>.</w:t>
      </w:r>
    </w:p>
    <w:p w:rsidR="00D02DD9" w:rsidRPr="009C2EF2" w:rsidRDefault="003C64E0" w:rsidP="005C3E3E">
      <w:pPr>
        <w:pStyle w:val="a3"/>
        <w:kinsoku w:val="0"/>
        <w:overflowPunct w:val="0"/>
        <w:spacing w:line="250" w:lineRule="auto"/>
        <w:ind w:left="964" w:right="90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BQS 105 </w:t>
      </w:r>
      <w:r w:rsidRPr="009C2EF2">
        <w:rPr>
          <w:rFonts w:ascii="Times New Roman" w:hAnsi="Times New Roman"/>
          <w:i/>
          <w:color w:val="231F20"/>
          <w:spacing w:val="-1"/>
          <w:sz w:val="24"/>
          <w:szCs w:val="24"/>
          <w:lang w:val="az-Latn-AZ"/>
        </w:rPr>
        <w:t>Qiymətləndirmə Yanaşmaları və Üsulları</w:t>
      </w:r>
      <w:r w:rsidRPr="009C2EF2">
        <w:rPr>
          <w:rFonts w:ascii="Times New Roman" w:hAnsi="Times New Roman"/>
          <w:color w:val="231F20"/>
          <w:spacing w:val="1"/>
          <w:sz w:val="24"/>
          <w:szCs w:val="24"/>
          <w:lang w:val="az-Latn-AZ"/>
        </w:rPr>
        <w:t xml:space="preserve"> bölməsində qeyd olunduğu kimi üçüncü tərəfin hesablamalarına əsasən müəyyən edilən xərclərin mənfəət artımını əks etdirdiyi ehtimal olunur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0"/>
        </w:numPr>
        <w:tabs>
          <w:tab w:val="left" w:pos="965"/>
        </w:tabs>
        <w:kinsoku w:val="0"/>
        <w:overflowPunct w:val="0"/>
        <w:spacing w:line="250" w:lineRule="auto"/>
        <w:ind w:left="964" w:right="119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aktivin yaradılması zamanı müəyyən bir dövr ərzində sərəncamda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 xml:space="preserve">olmaması ilə bağlı xərcləri əks etdirən alternativ xərclər də daxil edilə </w:t>
      </w:r>
      <w:r w:rsidRPr="009C2EF2">
        <w:rPr>
          <w:rFonts w:ascii="Times New Roman" w:hAnsi="Times New Roman"/>
          <w:i/>
          <w:color w:val="231F20"/>
          <w:spacing w:val="-1"/>
          <w:sz w:val="24"/>
          <w:szCs w:val="24"/>
          <w:lang w:val="az-Latn-AZ"/>
        </w:rPr>
        <w:t xml:space="preserve">bilər </w:t>
      </w:r>
      <w:r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Qeyri-maddi aktivlər üzrə xüsusi mülahizələr</w:t>
      </w:r>
    </w:p>
    <w:p w:rsidR="00D02DD9" w:rsidRPr="009C2EF2" w:rsidRDefault="003C64E0">
      <w:pPr>
        <w:pStyle w:val="a3"/>
        <w:numPr>
          <w:ilvl w:val="1"/>
          <w:numId w:val="49"/>
        </w:numPr>
        <w:tabs>
          <w:tab w:val="left" w:pos="681"/>
        </w:tabs>
        <w:kinsoku w:val="0"/>
        <w:overflowPunct w:val="0"/>
        <w:spacing w:before="122"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Aşağıdakı bölmələr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qiymətləndirilməsinə müvafiq olan mövzuların natamam siyahısını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5C3E3E" w:rsidRPr="009C2EF2" w:rsidRDefault="003C64E0">
      <w:pPr>
        <w:pStyle w:val="a3"/>
        <w:numPr>
          <w:ilvl w:val="2"/>
          <w:numId w:val="4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 xml:space="preserve"> ilə bağlı diskont faiz dərəcələri/ gəlir üzrə faiz </w:t>
      </w:r>
    </w:p>
    <w:p w:rsidR="00D02DD9" w:rsidRPr="009C2EF2" w:rsidRDefault="003C64E0" w:rsidP="005C3E3E">
      <w:pPr>
        <w:pStyle w:val="a3"/>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dərəcələri (bölmə 90).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4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faydalı istismar müddəti (bölmə 100).</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49"/>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5"/>
          <w:sz w:val="24"/>
          <w:szCs w:val="24"/>
          <w:lang w:val="az-Latn-AZ"/>
        </w:rPr>
        <w:t>Vergi Amortizasiyası Faydası (bölmə 110).</w:t>
      </w:r>
    </w:p>
    <w:p w:rsidR="00D02DD9" w:rsidRPr="009C2EF2" w:rsidRDefault="00D02DD9">
      <w:pPr>
        <w:pStyle w:val="a3"/>
        <w:kinsoku w:val="0"/>
        <w:overflowPunct w:val="0"/>
        <w:spacing w:before="7"/>
        <w:ind w:left="0"/>
        <w:rPr>
          <w:rFonts w:ascii="Times New Roman" w:hAnsi="Times New Roman"/>
          <w:sz w:val="24"/>
          <w:szCs w:val="24"/>
          <w:lang w:val="az-Latn-AZ"/>
        </w:rPr>
      </w:pPr>
    </w:p>
    <w:p w:rsidR="005C3E3E" w:rsidRPr="009C2EF2" w:rsidRDefault="003C64E0">
      <w:pPr>
        <w:pStyle w:val="Heading41"/>
        <w:numPr>
          <w:ilvl w:val="0"/>
          <w:numId w:val="48"/>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Qeyri maddi aktivlər ilə bağlı diskont faiz dərəcələri/ gəlir üzrə faiz</w:t>
      </w:r>
    </w:p>
    <w:p w:rsidR="00D02DD9" w:rsidRPr="009C2EF2" w:rsidRDefault="003C64E0" w:rsidP="005C3E3E">
      <w:pPr>
        <w:pStyle w:val="Heading41"/>
        <w:tabs>
          <w:tab w:val="left" w:pos="681"/>
        </w:tabs>
        <w:kinsoku w:val="0"/>
        <w:overflowPunct w:val="0"/>
        <w:ind w:firstLine="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 xml:space="preserve"> dərəcələri</w:t>
      </w:r>
    </w:p>
    <w:p w:rsidR="00D02DD9" w:rsidRPr="009C2EF2" w:rsidRDefault="003C64E0">
      <w:pPr>
        <w:pStyle w:val="a3"/>
        <w:numPr>
          <w:ilvl w:val="1"/>
          <w:numId w:val="48"/>
        </w:numPr>
        <w:tabs>
          <w:tab w:val="left" w:pos="681"/>
        </w:tabs>
        <w:kinsoku w:val="0"/>
        <w:overflowPunct w:val="0"/>
        <w:spacing w:before="122"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 üzrə diskont faiz dərəcələri ilə bağlı real bazar məlumatları az olduğu üçün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diskont faiz dərəcələrinin müəyyən edilməsi çətin ola bilər.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üzrə diskont faiz dərəcəsinin müəyyən edilməsi üçün ümumilikdə </w:t>
      </w:r>
      <w:r w:rsidRPr="009C2EF2">
        <w:rPr>
          <w:rFonts w:ascii="Times New Roman" w:hAnsi="Times New Roman"/>
          <w:i/>
          <w:color w:val="231F20"/>
          <w:sz w:val="24"/>
          <w:szCs w:val="24"/>
          <w:lang w:val="az-Latn-AZ"/>
        </w:rPr>
        <w:t xml:space="preserve">mühüm peşəkar </w:t>
      </w:r>
      <w:r w:rsidRPr="009C2EF2">
        <w:rPr>
          <w:rFonts w:ascii="Times New Roman" w:hAnsi="Times New Roman"/>
          <w:color w:val="231F20"/>
          <w:sz w:val="24"/>
          <w:szCs w:val="24"/>
          <w:lang w:val="az-Latn-AZ"/>
        </w:rPr>
        <w:t>mühakimənin irəli sürülməsi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8"/>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pacing w:val="-1"/>
          <w:sz w:val="24"/>
          <w:szCs w:val="24"/>
          <w:lang w:val="az-Latn-AZ"/>
        </w:rPr>
        <w:t>aktiv</w:t>
      </w:r>
      <w:r w:rsidRPr="009C2EF2">
        <w:rPr>
          <w:rFonts w:ascii="Times New Roman" w:hAnsi="Times New Roman"/>
          <w:color w:val="231F20"/>
          <w:sz w:val="24"/>
          <w:szCs w:val="24"/>
          <w:lang w:val="az-Latn-AZ"/>
        </w:rPr>
        <w:t xml:space="preserve"> üzrə diskont faiz dərəcəsini müəyyən edərkən </w:t>
      </w:r>
      <w:r w:rsidRPr="009C2EF2">
        <w:rPr>
          <w:rFonts w:ascii="Times New Roman" w:hAnsi="Times New Roman"/>
          <w:i/>
          <w:color w:val="231F20"/>
          <w:sz w:val="24"/>
          <w:szCs w:val="24"/>
          <w:lang w:val="az-Latn-AZ"/>
        </w:rPr>
        <w:t xml:space="preserve">qiymətləndiricilər </w:t>
      </w:r>
      <w:r w:rsidRPr="009C2EF2">
        <w:rPr>
          <w:rFonts w:ascii="Times New Roman" w:hAnsi="Times New Roman"/>
          <w:color w:val="231F20"/>
          <w:sz w:val="24"/>
          <w:szCs w:val="24"/>
          <w:lang w:val="az-Latn-AZ"/>
        </w:rPr>
        <w:t xml:space="preserve">müvafiq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ilə bağlı risklərin qiymətləndirilməsini həyata keçirməli və cari diskont dərəcəsi standartlarını nəzərə almalıdırlar.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69</w:t>
      </w:r>
    </w:p>
    <w:p w:rsidR="00D02DD9" w:rsidRPr="009C2EF2" w:rsidRDefault="00D02DD9">
      <w:pPr>
        <w:pStyle w:val="a3"/>
        <w:kinsoku w:val="0"/>
        <w:overflowPunct w:val="0"/>
        <w:ind w:left="2878" w:right="3722"/>
        <w:jc w:val="center"/>
        <w:rPr>
          <w:rFonts w:ascii="Times New Roman" w:hAnsi="Times New Roman"/>
          <w:color w:val="000000"/>
          <w:sz w:val="24"/>
          <w:szCs w:val="24"/>
          <w:lang w:val="az-Latn-AZ"/>
        </w:rPr>
        <w:sectPr w:rsidR="00D02DD9" w:rsidRPr="009C2EF2">
          <w:footerReference w:type="default" r:id="rId7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7360" behindDoc="1" locked="0" layoutInCell="0" allowOverlap="1">
                <wp:simplePos x="0" y="0"/>
                <wp:positionH relativeFrom="page">
                  <wp:posOffset>0</wp:posOffset>
                </wp:positionH>
                <wp:positionV relativeFrom="page">
                  <wp:posOffset>0</wp:posOffset>
                </wp:positionV>
                <wp:extent cx="432435" cy="8424545"/>
                <wp:effectExtent l="0" t="0" r="0" b="0"/>
                <wp:wrapNone/>
                <wp:docPr id="11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280943" id="Freeform 157" o:spid="_x0000_s1026" style="position:absolute;margin-left:0;margin-top:0;width:34.05pt;height:663.3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1"/>
          <w:numId w:val="48"/>
        </w:numPr>
        <w:tabs>
          <w:tab w:val="left" w:pos="1531"/>
        </w:tabs>
        <w:kinsoku w:val="0"/>
        <w:overflowPunct w:val="0"/>
        <w:spacing w:before="77" w:line="250" w:lineRule="auto"/>
        <w:ind w:right="164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Qiymətləndirici qeyri-maddi </w:t>
      </w:r>
      <w:r w:rsidRPr="009C2EF2">
        <w:rPr>
          <w:rFonts w:ascii="Times New Roman" w:hAnsi="Times New Roman"/>
          <w:i/>
          <w:color w:val="231F20"/>
          <w:spacing w:val="-1"/>
          <w:sz w:val="24"/>
          <w:szCs w:val="24"/>
          <w:lang w:val="az-Latn-AZ"/>
        </w:rPr>
        <w:t>aktiv</w:t>
      </w:r>
      <w:r w:rsidRPr="009C2EF2">
        <w:rPr>
          <w:rFonts w:ascii="Times New Roman" w:hAnsi="Times New Roman"/>
          <w:color w:val="231F20"/>
          <w:spacing w:val="1"/>
          <w:sz w:val="24"/>
          <w:szCs w:val="24"/>
          <w:lang w:val="az-Latn-AZ"/>
        </w:rPr>
        <w:t xml:space="preserve"> ilə bağlı riskləri qiymətləndirərkən aşağıdakı amilləri </w:t>
      </w:r>
      <w:r w:rsidRPr="009C2EF2">
        <w:rPr>
          <w:rFonts w:ascii="Times New Roman" w:hAnsi="Times New Roman"/>
          <w:i/>
          <w:color w:val="231F20"/>
          <w:sz w:val="24"/>
          <w:szCs w:val="24"/>
          <w:lang w:val="az-Latn-AZ"/>
        </w:rPr>
        <w:t xml:space="preserve">nəzərə almalıdır </w:t>
      </w:r>
      <w:r w:rsidRPr="009C2EF2">
        <w:rPr>
          <w:rFonts w:ascii="Times New Roman" w:hAnsi="Times New Roman"/>
          <w:color w:val="231F20"/>
          <w:spacing w:val="1"/>
          <w:sz w:val="24"/>
          <w:szCs w:val="24"/>
          <w:lang w:val="az-Latn-AZ"/>
        </w:rPr>
        <w:t>:</w:t>
      </w:r>
    </w:p>
    <w:p w:rsidR="00D02DD9" w:rsidRPr="009C2EF2" w:rsidRDefault="003C64E0">
      <w:pPr>
        <w:pStyle w:val="a3"/>
        <w:numPr>
          <w:ilvl w:val="2"/>
          <w:numId w:val="4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ilə müqayisədə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daha yüksək risk daşıyırlar, </w:t>
      </w:r>
    </w:p>
    <w:p w:rsidR="00D02DD9" w:rsidRPr="009C2EF2" w:rsidRDefault="003C64E0">
      <w:pPr>
        <w:pStyle w:val="a3"/>
        <w:numPr>
          <w:ilvl w:val="2"/>
          <w:numId w:val="48"/>
        </w:numPr>
        <w:tabs>
          <w:tab w:val="left" w:pos="1815"/>
        </w:tabs>
        <w:kinsoku w:val="0"/>
        <w:overflowPunct w:val="0"/>
        <w:spacing w:line="250" w:lineRule="auto"/>
        <w:ind w:left="1814"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cari istifadəsi üzrə yüksək dərəcədə ixtisaslaşdırılmış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çoxsaylı məqsədlərlə istifadə olunan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z w:val="24"/>
          <w:szCs w:val="24"/>
          <w:lang w:val="az-Latn-AZ"/>
        </w:rPr>
        <w:t xml:space="preserve">müqayisədə daha yüksək risk daşıya </w:t>
      </w:r>
      <w:r w:rsidRPr="009C2EF2">
        <w:rPr>
          <w:rFonts w:ascii="Times New Roman" w:hAnsi="Times New Roman"/>
          <w:i/>
          <w:color w:val="231F20"/>
          <w:spacing w:val="-1"/>
          <w:sz w:val="24"/>
          <w:szCs w:val="24"/>
          <w:lang w:val="az-Latn-AZ"/>
        </w:rPr>
        <w:t xml:space="preserve">bilərlər </w:t>
      </w:r>
      <w:r w:rsidRPr="009C2EF2">
        <w:rPr>
          <w:rFonts w:ascii="Times New Roman" w:hAnsi="Times New Roman"/>
          <w:color w:val="231F20"/>
          <w:sz w:val="24"/>
          <w:szCs w:val="24"/>
          <w:lang w:val="az-Latn-AZ"/>
        </w:rPr>
        <w:t>,</w:t>
      </w:r>
    </w:p>
    <w:p w:rsidR="005C3E3E" w:rsidRPr="009C2EF2" w:rsidRDefault="003C64E0">
      <w:pPr>
        <w:pStyle w:val="a3"/>
        <w:numPr>
          <w:ilvl w:val="2"/>
          <w:numId w:val="4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vahid şəklində mövcud olan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qrup şəklində mövcud olan</w:t>
      </w:r>
    </w:p>
    <w:p w:rsidR="005C3E3E" w:rsidRPr="009C2EF2" w:rsidRDefault="005C3E3E" w:rsidP="005C3E3E">
      <w:pPr>
        <w:pStyle w:val="a3"/>
        <w:tabs>
          <w:tab w:val="left" w:pos="1815"/>
        </w:tabs>
        <w:kinsoku w:val="0"/>
        <w:overflowPunct w:val="0"/>
        <w:rPr>
          <w:rFonts w:ascii="Times New Roman" w:hAnsi="Times New Roman"/>
          <w:color w:val="231F20"/>
          <w:spacing w:val="-2"/>
          <w:sz w:val="24"/>
          <w:szCs w:val="24"/>
          <w:lang w:val="az-Latn-AZ"/>
        </w:rPr>
      </w:pPr>
      <w:r w:rsidRPr="009C2EF2">
        <w:rPr>
          <w:rFonts w:ascii="Times New Roman" w:hAnsi="Times New Roman"/>
          <w:color w:val="231F20"/>
          <w:sz w:val="24"/>
          <w:szCs w:val="24"/>
          <w:lang w:val="az-Latn-AZ"/>
        </w:rPr>
        <w:t xml:space="preserve">    </w:t>
      </w:r>
      <w:r w:rsidR="003C64E0" w:rsidRPr="009C2EF2">
        <w:rPr>
          <w:rFonts w:ascii="Times New Roman" w:hAnsi="Times New Roman"/>
          <w:color w:val="231F20"/>
          <w:sz w:val="24"/>
          <w:szCs w:val="24"/>
          <w:lang w:val="az-Latn-AZ"/>
        </w:rPr>
        <w:t xml:space="preserve"> qeyri-maddi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 xml:space="preserve"> (və ya müəssisələr) ilə müqayisədə daha </w:t>
      </w:r>
      <w:r w:rsidR="003C64E0" w:rsidRPr="009C2EF2">
        <w:rPr>
          <w:rFonts w:ascii="Times New Roman" w:hAnsi="Times New Roman"/>
          <w:color w:val="231F20"/>
          <w:spacing w:val="-2"/>
          <w:sz w:val="24"/>
          <w:szCs w:val="24"/>
          <w:lang w:val="az-Latn-AZ"/>
        </w:rPr>
        <w:t xml:space="preserve">çox risk daşıya </w:t>
      </w:r>
    </w:p>
    <w:p w:rsidR="00D02DD9" w:rsidRPr="009C2EF2" w:rsidRDefault="005C3E3E" w:rsidP="005C3E3E">
      <w:pPr>
        <w:pStyle w:val="a3"/>
        <w:tabs>
          <w:tab w:val="left" w:pos="1815"/>
        </w:tabs>
        <w:kinsoku w:val="0"/>
        <w:overflowPunct w:val="0"/>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     </w:t>
      </w:r>
      <w:r w:rsidR="003C64E0" w:rsidRPr="009C2EF2">
        <w:rPr>
          <w:rFonts w:ascii="Times New Roman" w:hAnsi="Times New Roman"/>
          <w:color w:val="231F20"/>
          <w:spacing w:val="-2"/>
          <w:sz w:val="24"/>
          <w:szCs w:val="24"/>
          <w:lang w:val="az-Latn-AZ"/>
        </w:rPr>
        <w:t>bilərlər .</w:t>
      </w:r>
    </w:p>
    <w:p w:rsidR="00D02DD9" w:rsidRPr="009C2EF2" w:rsidRDefault="003C64E0">
      <w:pPr>
        <w:pStyle w:val="a3"/>
        <w:numPr>
          <w:ilvl w:val="2"/>
          <w:numId w:val="48"/>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riskli funksiyalarda (bəzən qeyri-standart adlanan) istifadə olunan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daha az risk daşıyan və ya standart fəaliyyətlərdə istifadə olunan qeyri-maddi </w:t>
      </w:r>
      <w:r w:rsidRPr="009C2EF2">
        <w:rPr>
          <w:rFonts w:ascii="Times New Roman" w:hAnsi="Times New Roman"/>
          <w:i/>
          <w:color w:val="231F20"/>
          <w:sz w:val="24"/>
          <w:szCs w:val="24"/>
          <w:lang w:val="az-Latn-AZ"/>
        </w:rPr>
        <w:t xml:space="preserve">aktivlərlə </w:t>
      </w:r>
      <w:r w:rsidRPr="009C2EF2">
        <w:rPr>
          <w:rFonts w:ascii="Times New Roman" w:hAnsi="Times New Roman"/>
          <w:color w:val="231F20"/>
          <w:sz w:val="24"/>
          <w:szCs w:val="24"/>
          <w:lang w:val="az-Latn-AZ"/>
        </w:rPr>
        <w:t xml:space="preserve">müqayisədə daha yüksək risk daşıya </w:t>
      </w:r>
      <w:r w:rsidRPr="009C2EF2">
        <w:rPr>
          <w:rFonts w:ascii="Times New Roman" w:hAnsi="Times New Roman"/>
          <w:i/>
          <w:color w:val="231F20"/>
          <w:spacing w:val="-1"/>
          <w:sz w:val="24"/>
          <w:szCs w:val="24"/>
          <w:lang w:val="az-Latn-AZ"/>
        </w:rPr>
        <w:t xml:space="preserve">bilərlər </w:t>
      </w:r>
      <w:r w:rsidRPr="009C2EF2">
        <w:rPr>
          <w:rFonts w:ascii="Times New Roman" w:hAnsi="Times New Roman"/>
          <w:color w:val="231F20"/>
          <w:sz w:val="24"/>
          <w:szCs w:val="24"/>
          <w:lang w:val="az-Latn-AZ"/>
        </w:rPr>
        <w:t xml:space="preserve">.  Məsələn, tədqiqat və inkişaf fəaliyyətlərində istifadə olunan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mövcud məhsul və ya xidmətlərin təqdim olunması zamanı istifadə olunanlarla müqayisədə daha yüksək risk daşıya </w:t>
      </w:r>
      <w:r w:rsidRPr="009C2EF2">
        <w:rPr>
          <w:rFonts w:ascii="Times New Roman" w:hAnsi="Times New Roman"/>
          <w:i/>
          <w:color w:val="231F20"/>
          <w:spacing w:val="-1"/>
          <w:sz w:val="24"/>
          <w:szCs w:val="24"/>
          <w:lang w:val="az-Latn-AZ"/>
        </w:rPr>
        <w:t>bilərlər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48"/>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8576" behindDoc="0" locked="0" layoutInCell="0" allowOverlap="1">
                <wp:simplePos x="0" y="0"/>
                <wp:positionH relativeFrom="page">
                  <wp:posOffset>151130</wp:posOffset>
                </wp:positionH>
                <wp:positionV relativeFrom="paragraph">
                  <wp:posOffset>143510</wp:posOffset>
                </wp:positionV>
                <wp:extent cx="152400" cy="2733675"/>
                <wp:effectExtent l="0" t="0" r="0" b="0"/>
                <wp:wrapNone/>
                <wp:docPr id="11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8" type="#_x0000_t202" style="position:absolute;left:0;text-align:left;margin-left:11.9pt;margin-top:11.3pt;width:12pt;height:215.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OY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i/>
          <w:color w:val="231F20"/>
          <w:spacing w:val="-1"/>
          <w:sz w:val="24"/>
          <w:szCs w:val="24"/>
          <w:lang w:val="az-Latn-AZ"/>
        </w:rPr>
        <w:t>aktivin</w:t>
      </w:r>
      <w:r w:rsidR="003C64E0" w:rsidRPr="009C2EF2">
        <w:rPr>
          <w:rFonts w:ascii="Times New Roman" w:hAnsi="Times New Roman"/>
          <w:color w:val="231F20"/>
          <w:sz w:val="24"/>
          <w:szCs w:val="24"/>
          <w:lang w:val="az-Latn-AZ"/>
        </w:rPr>
        <w:t xml:space="preserve"> faydalı istismar müddəti. Digər investisiyalar kimi faydalı istismar müddəti uzun olan qeyri-maddi </w:t>
      </w:r>
      <w:r w:rsidR="003C64E0" w:rsidRPr="009C2EF2">
        <w:rPr>
          <w:rFonts w:ascii="Times New Roman" w:hAnsi="Times New Roman"/>
          <w:i/>
          <w:color w:val="231F20"/>
          <w:sz w:val="24"/>
          <w:szCs w:val="24"/>
          <w:lang w:val="az-Latn-AZ"/>
        </w:rPr>
        <w:t xml:space="preserve">aktivlərin </w:t>
      </w:r>
      <w:r w:rsidR="003C64E0" w:rsidRPr="009C2EF2">
        <w:rPr>
          <w:rFonts w:ascii="Times New Roman" w:hAnsi="Times New Roman"/>
          <w:color w:val="231F20"/>
          <w:sz w:val="24"/>
          <w:szCs w:val="24"/>
          <w:lang w:val="az-Latn-AZ"/>
        </w:rPr>
        <w:t>daha yüksək risk daşıdıqları güman edilə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C3E3E">
      <w:pPr>
        <w:pStyle w:val="a3"/>
        <w:numPr>
          <w:ilvl w:val="2"/>
          <w:numId w:val="48"/>
        </w:numPr>
        <w:tabs>
          <w:tab w:val="left" w:pos="1815"/>
        </w:tabs>
        <w:kinsoku w:val="0"/>
        <w:overflowPunct w:val="0"/>
        <w:spacing w:line="250" w:lineRule="auto"/>
        <w:ind w:left="1814" w:right="93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daha asan qiymətləndirilə bilən pul axınlarının daxil olduğu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 məsələn, yerinə yetirilməmiş sifariş portfeli, qiymətləndirilməsi çətin olan pul axınlarının daxil olduğu oxşar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 o cümlədən müştəri əlaqələri  ilə müqayisədə daha az risk daşıya </w:t>
      </w:r>
      <w:r w:rsidRPr="009C2EF2">
        <w:rPr>
          <w:rFonts w:ascii="Times New Roman" w:hAnsi="Times New Roman"/>
          <w:i/>
          <w:color w:val="231F20"/>
          <w:spacing w:val="-1"/>
          <w:sz w:val="24"/>
          <w:szCs w:val="24"/>
          <w:lang w:val="az-Latn-AZ"/>
        </w:rPr>
        <w:t>bilərlər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8"/>
        </w:numPr>
        <w:tabs>
          <w:tab w:val="left" w:pos="1531"/>
        </w:tabs>
        <w:kinsoku w:val="0"/>
        <w:overflowPunct w:val="0"/>
        <w:spacing w:line="250" w:lineRule="auto"/>
        <w:ind w:right="146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Diskont dərəcəsi standartları bazar məlumatlarına və ya gözlənilən əməliyyatlara əsaslanan dərəcələrdir. Qiymətləndiricinin </w:t>
      </w:r>
      <w:r w:rsidRPr="009C2EF2">
        <w:rPr>
          <w:rFonts w:ascii="Times New Roman" w:hAnsi="Times New Roman"/>
          <w:i/>
          <w:color w:val="231F20"/>
          <w:sz w:val="24"/>
          <w:szCs w:val="24"/>
          <w:lang w:val="az-Latn-AZ"/>
        </w:rPr>
        <w:t xml:space="preserve">nəzərə almalı olduğu </w:t>
      </w:r>
      <w:r w:rsidRPr="009C2EF2">
        <w:rPr>
          <w:rFonts w:ascii="Times New Roman" w:hAnsi="Times New Roman"/>
          <w:color w:val="231F20"/>
          <w:spacing w:val="1"/>
          <w:sz w:val="24"/>
          <w:szCs w:val="24"/>
          <w:lang w:val="az-Latn-AZ"/>
        </w:rPr>
        <w:t>standart faiz dərəcələrinin bəziləri aşağıda qeyd olunmuşdur: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30639D">
      <w:pPr>
        <w:pStyle w:val="a3"/>
        <w:numPr>
          <w:ilvl w:val="2"/>
          <w:numId w:val="48"/>
        </w:numPr>
        <w:tabs>
          <w:tab w:val="left" w:pos="1815"/>
        </w:tabs>
        <w:kinsoku w:val="0"/>
        <w:overflowPunct w:val="0"/>
        <w:spacing w:line="250" w:lineRule="auto"/>
        <w:ind w:left="1814" w:right="129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müvafiq qeyri-maddi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z w:val="24"/>
          <w:szCs w:val="24"/>
          <w:lang w:val="az-Latn-AZ"/>
        </w:rPr>
        <w:t xml:space="preserve"> faydalı istismar müddəti ilə bənzərlik təşkil edən hesablamalar müddətinə malik risk daşımayan faiz dərəcələri,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8"/>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müvafiq qeyri-maddi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pacing w:val="1"/>
          <w:sz w:val="24"/>
          <w:szCs w:val="24"/>
          <w:lang w:val="az-Latn-AZ"/>
        </w:rPr>
        <w:t xml:space="preserve"> faydalı istismar müddəti ilə bənzərlik təşkil edən hesablamalar müddətinə malik borc dəyəri və ya borc faizi,</w:t>
      </w:r>
    </w:p>
    <w:p w:rsidR="00D02DD9" w:rsidRPr="009C2EF2" w:rsidRDefault="003C64E0">
      <w:pPr>
        <w:pStyle w:val="a3"/>
        <w:numPr>
          <w:ilvl w:val="2"/>
          <w:numId w:val="48"/>
        </w:numPr>
        <w:tabs>
          <w:tab w:val="left" w:pos="1815"/>
        </w:tabs>
        <w:kinsoku w:val="0"/>
        <w:overflowPunct w:val="0"/>
        <w:spacing w:line="250" w:lineRule="auto"/>
        <w:ind w:left="1814" w:right="158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müvafiq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pacing w:val="1"/>
          <w:sz w:val="24"/>
          <w:szCs w:val="24"/>
          <w:lang w:val="az-Latn-AZ"/>
        </w:rPr>
        <w:t xml:space="preserve"> ilə bağlı kapitalın dəyəri və ya kapital üzrə mənfəət və ya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pacing w:val="1"/>
          <w:sz w:val="24"/>
          <w:szCs w:val="24"/>
          <w:lang w:val="az-Latn-AZ"/>
        </w:rPr>
        <w:t xml:space="preserve">üzrə gəlir, </w:t>
      </w:r>
    </w:p>
    <w:p w:rsidR="00D02DD9" w:rsidRPr="009C2EF2" w:rsidRDefault="003C64E0">
      <w:pPr>
        <w:pStyle w:val="a3"/>
        <w:numPr>
          <w:ilvl w:val="2"/>
          <w:numId w:val="48"/>
        </w:numPr>
        <w:tabs>
          <w:tab w:val="left" w:pos="1815"/>
        </w:tabs>
        <w:kinsoku w:val="0"/>
        <w:overflowPunct w:val="0"/>
        <w:spacing w:line="250" w:lineRule="auto"/>
        <w:ind w:left="1814" w:right="161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ilə bağlı </w:t>
      </w: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z w:val="24"/>
          <w:szCs w:val="24"/>
          <w:lang w:val="az-Latn-AZ"/>
        </w:rPr>
        <w:t xml:space="preserve">və ya qiymətləndirilən qeyri-maddi </w:t>
      </w:r>
      <w:r w:rsidRPr="009C2EF2">
        <w:rPr>
          <w:rFonts w:ascii="Times New Roman" w:hAnsi="Times New Roman"/>
          <w:i/>
          <w:color w:val="231F20"/>
          <w:spacing w:val="-1"/>
          <w:sz w:val="24"/>
          <w:szCs w:val="24"/>
          <w:lang w:val="az-Latn-AZ"/>
        </w:rPr>
        <w:t>aktivə</w:t>
      </w:r>
      <w:r w:rsidRPr="009C2EF2">
        <w:rPr>
          <w:rFonts w:ascii="Times New Roman" w:hAnsi="Times New Roman"/>
          <w:color w:val="231F20"/>
          <w:sz w:val="24"/>
          <w:szCs w:val="24"/>
          <w:lang w:val="az-Latn-AZ"/>
        </w:rPr>
        <w:t xml:space="preserve"> sahib olan/ ondan istifadə edən şirkətin kapitalının orta </w:t>
      </w:r>
      <w:r w:rsidRPr="009C2EF2">
        <w:rPr>
          <w:rFonts w:ascii="Times New Roman" w:hAnsi="Times New Roman"/>
          <w:i/>
          <w:color w:val="231F20"/>
          <w:sz w:val="24"/>
          <w:szCs w:val="24"/>
          <w:lang w:val="az-Latn-AZ"/>
        </w:rPr>
        <w:t xml:space="preserve">çəki </w:t>
      </w:r>
      <w:r w:rsidRPr="009C2EF2">
        <w:rPr>
          <w:rFonts w:ascii="Times New Roman" w:hAnsi="Times New Roman"/>
          <w:color w:val="231F20"/>
          <w:sz w:val="24"/>
          <w:szCs w:val="24"/>
          <w:lang w:val="az-Latn-AZ"/>
        </w:rPr>
        <w:t>dəyəri (KOÇD),</w:t>
      </w:r>
    </w:p>
    <w:p w:rsidR="00D02DD9" w:rsidRPr="009C2EF2" w:rsidRDefault="003C64E0">
      <w:pPr>
        <w:pStyle w:val="a3"/>
        <w:numPr>
          <w:ilvl w:val="2"/>
          <w:numId w:val="48"/>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qiymətləndirilən qeyri-maddi </w:t>
      </w:r>
      <w:r w:rsidRPr="009C2EF2">
        <w:rPr>
          <w:rFonts w:ascii="Times New Roman" w:hAnsi="Times New Roman"/>
          <w:i/>
          <w:color w:val="231F20"/>
          <w:spacing w:val="-1"/>
          <w:sz w:val="24"/>
          <w:szCs w:val="24"/>
          <w:lang w:val="az-Latn-AZ"/>
        </w:rPr>
        <w:t>aktiv</w:t>
      </w:r>
      <w:r w:rsidRPr="009C2EF2">
        <w:rPr>
          <w:rFonts w:ascii="Times New Roman" w:hAnsi="Times New Roman"/>
          <w:color w:val="231F20"/>
          <w:sz w:val="24"/>
          <w:szCs w:val="24"/>
          <w:lang w:val="az-Latn-AZ"/>
        </w:rPr>
        <w:t xml:space="preserve"> daxil olmaqla son biznes maliyyələşdirilməsinin cəlb olunduğu şəraitdə əməliyyat üzrə daxili gəlirlilik faizi (IRR) </w:t>
      </w:r>
      <w:r w:rsidRPr="009C2EF2">
        <w:rPr>
          <w:rFonts w:ascii="Times New Roman" w:hAnsi="Times New Roman"/>
          <w:i/>
          <w:color w:val="231F20"/>
          <w:spacing w:val="1"/>
          <w:sz w:val="24"/>
          <w:szCs w:val="24"/>
          <w:lang w:val="az-Latn-AZ"/>
        </w:rPr>
        <w:t xml:space="preserve">nəzərə alınmalıdır </w:t>
      </w:r>
      <w:r w:rsidRPr="009C2EF2">
        <w:rPr>
          <w:rFonts w:ascii="Times New Roman" w:hAnsi="Times New Roman"/>
          <w:color w:val="231F20"/>
          <w:sz w:val="24"/>
          <w:szCs w:val="24"/>
          <w:lang w:val="az-Latn-AZ"/>
        </w:rPr>
        <w:t xml:space="preserve">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8"/>
        </w:numPr>
        <w:tabs>
          <w:tab w:val="left" w:pos="1815"/>
        </w:tabs>
        <w:kinsoku w:val="0"/>
        <w:overflowPunct w:val="0"/>
        <w:spacing w:line="250" w:lineRule="auto"/>
        <w:ind w:left="1814" w:right="120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müəssisənin bütün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 xml:space="preserve">qiymətləndirildiyi şəraitdə qiymətləndirici müəyyən edilmiş diskont faiz dərəcələrinin əsaslılığını təsdiqləmək üçün </w:t>
      </w:r>
      <w:r w:rsidRPr="009C2EF2">
        <w:rPr>
          <w:rFonts w:ascii="Times New Roman" w:hAnsi="Times New Roman"/>
          <w:i/>
          <w:color w:val="231F20"/>
          <w:sz w:val="24"/>
          <w:szCs w:val="24"/>
          <w:lang w:val="az-Latn-AZ"/>
        </w:rPr>
        <w:t xml:space="preserve">aktivlər üzrə </w:t>
      </w:r>
      <w:r w:rsidRPr="009C2EF2">
        <w:rPr>
          <w:rFonts w:ascii="Times New Roman" w:hAnsi="Times New Roman"/>
          <w:color w:val="231F20"/>
          <w:sz w:val="24"/>
          <w:szCs w:val="24"/>
          <w:lang w:val="az-Latn-AZ"/>
        </w:rPr>
        <w:t xml:space="preserve"> (WARA) </w:t>
      </w:r>
      <w:r w:rsidRPr="009C2EF2">
        <w:rPr>
          <w:rFonts w:ascii="Times New Roman" w:hAnsi="Times New Roman"/>
          <w:i/>
          <w:color w:val="231F20"/>
          <w:sz w:val="24"/>
          <w:szCs w:val="24"/>
          <w:lang w:val="az-Latn-AZ"/>
        </w:rPr>
        <w:t xml:space="preserve">hesablanmış </w:t>
      </w:r>
      <w:r w:rsidRPr="009C2EF2">
        <w:rPr>
          <w:rFonts w:ascii="Times New Roman" w:hAnsi="Times New Roman"/>
          <w:color w:val="231F20"/>
          <w:sz w:val="24"/>
          <w:szCs w:val="24"/>
          <w:lang w:val="az-Latn-AZ"/>
        </w:rPr>
        <w:t xml:space="preserve">orta gəlirliliyin təhlilini </w:t>
      </w:r>
      <w:r w:rsidRPr="009C2EF2">
        <w:rPr>
          <w:rFonts w:ascii="Times New Roman" w:hAnsi="Times New Roman"/>
          <w:i/>
          <w:color w:val="231F20"/>
          <w:sz w:val="24"/>
          <w:szCs w:val="24"/>
          <w:lang w:val="az-Latn-AZ"/>
        </w:rPr>
        <w:t xml:space="preserve">aparmalıdır </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Qeyri-maddi aktivlərin faydalı istifadə müddətləri</w:t>
      </w:r>
    </w:p>
    <w:p w:rsidR="00D02DD9" w:rsidRPr="009C2EF2" w:rsidRDefault="003C64E0">
      <w:pPr>
        <w:pStyle w:val="a3"/>
        <w:numPr>
          <w:ilvl w:val="1"/>
          <w:numId w:val="47"/>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yanaşmasına uyğun olaraq qeyri-maddi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pacing w:val="1"/>
          <w:sz w:val="24"/>
          <w:szCs w:val="24"/>
          <w:lang w:val="az-Latn-AZ"/>
        </w:rPr>
        <w:t xml:space="preserve"> qiymətləndirilməsi zamanı </w:t>
      </w:r>
      <w:r w:rsidRPr="009C2EF2">
        <w:rPr>
          <w:rFonts w:ascii="Times New Roman" w:hAnsi="Times New Roman"/>
          <w:i/>
          <w:color w:val="231F20"/>
          <w:spacing w:val="-1"/>
          <w:sz w:val="24"/>
          <w:szCs w:val="24"/>
          <w:lang w:val="az-Latn-AZ"/>
        </w:rPr>
        <w:t>aktivin</w:t>
      </w:r>
      <w:r w:rsidRPr="009C2EF2">
        <w:rPr>
          <w:rFonts w:ascii="Times New Roman" w:hAnsi="Times New Roman"/>
          <w:color w:val="231F20"/>
          <w:spacing w:val="1"/>
          <w:sz w:val="24"/>
          <w:szCs w:val="24"/>
          <w:lang w:val="az-Latn-AZ"/>
        </w:rPr>
        <w:t xml:space="preserve"> faydalı istismar müddətinin nəzərə alınması mühüm əhəmiyyət kəsb edir. Bu, hüquqi, texnoloji, funksional və ya iqtisadi amillər ilə məhdudlaşan məhdud müddət </w:t>
      </w:r>
      <w:r w:rsidRPr="009C2EF2">
        <w:rPr>
          <w:rFonts w:ascii="Times New Roman" w:hAnsi="Times New Roman"/>
          <w:i/>
          <w:color w:val="231F20"/>
          <w:spacing w:val="-1"/>
          <w:sz w:val="24"/>
          <w:szCs w:val="24"/>
          <w:lang w:val="az-Latn-AZ"/>
        </w:rPr>
        <w:t xml:space="preserve">ola bilər </w:t>
      </w:r>
      <w:r w:rsidRPr="009C2EF2">
        <w:rPr>
          <w:rFonts w:ascii="Times New Roman" w:hAnsi="Times New Roman"/>
          <w:color w:val="231F20"/>
          <w:spacing w:val="1"/>
          <w:sz w:val="24"/>
          <w:szCs w:val="24"/>
          <w:lang w:val="az-Latn-AZ"/>
        </w:rPr>
        <w:t xml:space="preserve">; digər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faydalı istismar müddəti qeyri-məhdud ola bilər. Qeyri-maddi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 xml:space="preserve">faydalı istismar müddəti mühasibatlıq və ya vergi ilə bağlı </w:t>
      </w:r>
      <w:r w:rsidRPr="009C2EF2">
        <w:rPr>
          <w:rFonts w:ascii="Times New Roman" w:hAnsi="Times New Roman"/>
          <w:i/>
          <w:color w:val="231F20"/>
          <w:sz w:val="24"/>
          <w:szCs w:val="24"/>
          <w:lang w:val="az-Latn-AZ"/>
        </w:rPr>
        <w:t>məqsədlər</w:t>
      </w:r>
      <w:r w:rsidRPr="009C2EF2">
        <w:rPr>
          <w:rFonts w:ascii="Times New Roman" w:hAnsi="Times New Roman"/>
          <w:color w:val="231F20"/>
          <w:spacing w:val="1"/>
          <w:sz w:val="24"/>
          <w:szCs w:val="24"/>
          <w:lang w:val="az-Latn-AZ"/>
        </w:rPr>
        <w:t xml:space="preserve"> üzrə qalan faydalı istismar müddəti ilə eyni deyil.</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4184" w:right="435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70</w:t>
      </w:r>
    </w:p>
    <w:p w:rsidR="00D02DD9" w:rsidRPr="009C2EF2" w:rsidRDefault="00D02DD9">
      <w:pPr>
        <w:pStyle w:val="a3"/>
        <w:kinsoku w:val="0"/>
        <w:overflowPunct w:val="0"/>
        <w:spacing w:before="80"/>
        <w:ind w:left="4184" w:right="4353"/>
        <w:jc w:val="center"/>
        <w:rPr>
          <w:rFonts w:ascii="Times New Roman" w:hAnsi="Times New Roman"/>
          <w:color w:val="000000"/>
          <w:sz w:val="24"/>
          <w:szCs w:val="24"/>
          <w:lang w:val="az-Latn-AZ"/>
        </w:rPr>
        <w:sectPr w:rsidR="00D02DD9" w:rsidRPr="009C2EF2">
          <w:footerReference w:type="default" r:id="rId7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8384" behindDoc="1" locked="0" layoutInCell="0" allowOverlap="1">
                <wp:simplePos x="0" y="0"/>
                <wp:positionH relativeFrom="page">
                  <wp:posOffset>5183505</wp:posOffset>
                </wp:positionH>
                <wp:positionV relativeFrom="page">
                  <wp:posOffset>0</wp:posOffset>
                </wp:positionV>
                <wp:extent cx="431800" cy="8423910"/>
                <wp:effectExtent l="0" t="0" r="0" b="0"/>
                <wp:wrapNone/>
                <wp:docPr id="11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0A4401" id="Freeform 159" o:spid="_x0000_s1026" style="position:absolute;margin-left:408.15pt;margin-top:0;width:34pt;height:663.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30639D">
      <w:pPr>
        <w:pStyle w:val="a3"/>
        <w:numPr>
          <w:ilvl w:val="1"/>
          <w:numId w:val="47"/>
        </w:numPr>
        <w:tabs>
          <w:tab w:val="left" w:pos="681"/>
          <w:tab w:val="left" w:pos="6750"/>
        </w:tabs>
        <w:kinsoku w:val="0"/>
        <w:overflowPunct w:val="0"/>
        <w:spacing w:before="77"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Faydalı istismar müddətinin qiymətləndirilməsini həyata keçirərkən hüquqi, texnoloji, funksional və iqtisadi amillər ayrılıqda və birlikdə </w:t>
      </w:r>
      <w:r w:rsidR="0030639D" w:rsidRPr="009C2EF2">
        <w:rPr>
          <w:rFonts w:ascii="Times New Roman" w:hAnsi="Times New Roman"/>
          <w:i/>
          <w:color w:val="231F20"/>
          <w:sz w:val="24"/>
          <w:szCs w:val="24"/>
          <w:lang w:val="az-Latn-AZ"/>
        </w:rPr>
        <w:t>nəzərə alınmalıdır</w:t>
      </w:r>
      <w:r w:rsidRPr="009C2EF2">
        <w:rPr>
          <w:rFonts w:ascii="Times New Roman" w:hAnsi="Times New Roman"/>
          <w:color w:val="231F20"/>
          <w:sz w:val="24"/>
          <w:szCs w:val="24"/>
          <w:lang w:val="az-Latn-AZ"/>
        </w:rPr>
        <w:t xml:space="preserve">. Məsələn, patent hüququ ilə qorunan əczaçılıq texnologiyasının patent hüququ başa çatmazdan öncə qalan qanuni istifadə müddəti beş il </w:t>
      </w:r>
      <w:r w:rsidRPr="009C2EF2">
        <w:rPr>
          <w:rFonts w:ascii="Times New Roman" w:hAnsi="Times New Roman"/>
          <w:i/>
          <w:color w:val="231F20"/>
          <w:spacing w:val="-1"/>
          <w:sz w:val="24"/>
          <w:szCs w:val="24"/>
          <w:lang w:val="az-Latn-AZ"/>
        </w:rPr>
        <w:t xml:space="preserve">ola bildiyi </w:t>
      </w:r>
      <w:r w:rsidRPr="009C2EF2">
        <w:rPr>
          <w:rFonts w:ascii="Times New Roman" w:hAnsi="Times New Roman"/>
          <w:color w:val="231F20"/>
          <w:sz w:val="24"/>
          <w:szCs w:val="24"/>
          <w:lang w:val="az-Latn-AZ"/>
        </w:rPr>
        <w:t xml:space="preserve">halda yüksək səmərəliliyə malik başqa bir dərman preparatının bazara üç il ərzində çıxarılacağı </w:t>
      </w:r>
      <w:r w:rsidRPr="009C2EF2">
        <w:rPr>
          <w:rFonts w:ascii="Times New Roman" w:hAnsi="Times New Roman"/>
          <w:i/>
          <w:color w:val="231F20"/>
          <w:spacing w:val="-1"/>
          <w:sz w:val="24"/>
          <w:szCs w:val="24"/>
          <w:lang w:val="az-Latn-AZ"/>
        </w:rPr>
        <w:t>gözlənilə bilər</w:t>
      </w:r>
      <w:r w:rsidRPr="009C2EF2">
        <w:rPr>
          <w:rFonts w:ascii="Times New Roman" w:hAnsi="Times New Roman"/>
          <w:color w:val="231F20"/>
          <w:sz w:val="24"/>
          <w:szCs w:val="24"/>
          <w:lang w:val="az-Latn-AZ"/>
        </w:rPr>
        <w:t>. Bu isə patentin faydalı istismar müddətinin yalnız üç il kimi qiymətləndirilməsinə səbəb olar. Bunun əksinə, texnologiya ilə bağlı nou-hau səciyyəvi dərman preparatının istehsalında patent hüququnun başa çatmasından fərqli bir dəyərə malik olduqda texnologiyanın gözlənilən faydalı istismar müddəti patentin istifadə müddətindən çox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47"/>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09600" behindDoc="0" locked="0" layoutInCell="0" allowOverlap="1">
                <wp:simplePos x="0" y="0"/>
                <wp:positionH relativeFrom="page">
                  <wp:posOffset>5276215</wp:posOffset>
                </wp:positionH>
                <wp:positionV relativeFrom="paragraph">
                  <wp:posOffset>849630</wp:posOffset>
                </wp:positionV>
                <wp:extent cx="152400" cy="2733675"/>
                <wp:effectExtent l="0" t="0" r="0" b="0"/>
                <wp:wrapNone/>
                <wp:docPr id="1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9" type="#_x0000_t202" style="position:absolute;left:0;text-align:left;margin-left:415.45pt;margin-top:66.9pt;width:12pt;height:215.2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C+sgIAALU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Qeyri-maddi </w:t>
      </w:r>
      <w:r w:rsidR="003C64E0" w:rsidRPr="009C2EF2">
        <w:rPr>
          <w:rFonts w:ascii="Times New Roman" w:hAnsi="Times New Roman"/>
          <w:i/>
          <w:color w:val="231F20"/>
          <w:spacing w:val="-1"/>
          <w:sz w:val="24"/>
          <w:szCs w:val="24"/>
          <w:lang w:val="az-Latn-AZ"/>
        </w:rPr>
        <w:t>aktivin</w:t>
      </w:r>
      <w:r w:rsidR="003C64E0" w:rsidRPr="009C2EF2">
        <w:rPr>
          <w:rFonts w:ascii="Times New Roman" w:hAnsi="Times New Roman"/>
          <w:color w:val="231F20"/>
          <w:sz w:val="24"/>
          <w:szCs w:val="24"/>
          <w:lang w:val="az-Latn-AZ"/>
        </w:rPr>
        <w:t xml:space="preserve"> faydalı istismar müddətini qiymətləndirərkən qiymətləndirici, həmçinin, istifadə və ya əvəzləmə formasını </w:t>
      </w:r>
      <w:r w:rsidR="003C64E0" w:rsidRPr="009C2EF2">
        <w:rPr>
          <w:rFonts w:ascii="Times New Roman" w:hAnsi="Times New Roman"/>
          <w:i/>
          <w:color w:val="231F20"/>
          <w:sz w:val="24"/>
          <w:szCs w:val="24"/>
          <w:lang w:val="az-Latn-AZ"/>
        </w:rPr>
        <w:t>nəzərə almalıdır.</w:t>
      </w:r>
      <w:r w:rsidR="003C64E0" w:rsidRPr="009C2EF2">
        <w:rPr>
          <w:rFonts w:ascii="Times New Roman" w:hAnsi="Times New Roman"/>
          <w:color w:val="231F20"/>
          <w:sz w:val="24"/>
          <w:szCs w:val="24"/>
          <w:lang w:val="az-Latn-AZ"/>
        </w:rPr>
        <w:t xml:space="preserve"> Yeni, daha yaxşı və ya daha sərfəli alternativ mövcud olduqda müəyyən qeyri-maddi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 xml:space="preserve">gözlənilmədən əvəzlənə bildiyi halda digərləri vaxt keçdikcə yavaş-yavaş </w:t>
      </w:r>
      <w:r w:rsidR="003C64E0" w:rsidRPr="009C2EF2">
        <w:rPr>
          <w:rFonts w:ascii="Times New Roman" w:hAnsi="Times New Roman"/>
          <w:i/>
          <w:color w:val="231F20"/>
          <w:spacing w:val="-1"/>
          <w:sz w:val="24"/>
          <w:szCs w:val="24"/>
          <w:lang w:val="az-Latn-AZ"/>
        </w:rPr>
        <w:t xml:space="preserve">əvəzlənə bilər </w:t>
      </w:r>
      <w:r w:rsidR="003C64E0" w:rsidRPr="009C2EF2">
        <w:rPr>
          <w:rFonts w:ascii="Times New Roman" w:hAnsi="Times New Roman"/>
          <w:color w:val="231F20"/>
          <w:sz w:val="24"/>
          <w:szCs w:val="24"/>
          <w:lang w:val="az-Latn-AZ"/>
        </w:rPr>
        <w:t>. Məsələn, proqram təminatı tərtibatçısı hər il proqram təminatının  yeni versiyasını hazırlayır, lakin mövcud kodun yalnız bir hissəsini yenisi ilə əvəzləyir.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0639D">
      <w:pPr>
        <w:pStyle w:val="a3"/>
        <w:numPr>
          <w:ilvl w:val="1"/>
          <w:numId w:val="47"/>
        </w:numPr>
        <w:tabs>
          <w:tab w:val="left" w:pos="681"/>
        </w:tabs>
        <w:kinsoku w:val="0"/>
        <w:overflowPunct w:val="0"/>
        <w:spacing w:line="250" w:lineRule="auto"/>
        <w:ind w:left="680" w:right="144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Müştəri</w:t>
      </w:r>
      <w:r w:rsidR="003C64E0" w:rsidRPr="009C2EF2">
        <w:rPr>
          <w:rFonts w:ascii="Times New Roman" w:hAnsi="Times New Roman"/>
          <w:color w:val="231F20"/>
          <w:spacing w:val="-1"/>
          <w:sz w:val="24"/>
          <w:szCs w:val="24"/>
          <w:lang w:val="az-Latn-AZ"/>
        </w:rPr>
        <w:t>yönümlü</w:t>
      </w:r>
      <w:r w:rsidRPr="009C2EF2">
        <w:rPr>
          <w:rFonts w:ascii="Times New Roman" w:hAnsi="Times New Roman"/>
          <w:color w:val="231F20"/>
          <w:spacing w:val="-1"/>
          <w:sz w:val="24"/>
          <w:szCs w:val="24"/>
          <w:lang w:val="az-Latn-AZ"/>
        </w:rPr>
        <w:t xml:space="preserve"> aktivlərə gəlincə isə, müştəri</w:t>
      </w:r>
      <w:r w:rsidR="003C64E0" w:rsidRPr="009C2EF2">
        <w:rPr>
          <w:rFonts w:ascii="Times New Roman" w:hAnsi="Times New Roman"/>
          <w:color w:val="231F20"/>
          <w:spacing w:val="-1"/>
          <w:sz w:val="24"/>
          <w:szCs w:val="24"/>
          <w:lang w:val="az-Latn-AZ"/>
        </w:rPr>
        <w:t xml:space="preserve">yönümlü qeyri-maddi aktivləri qiymətləndirmək üçün istifadə olunan pul axınları ilə yanaşı faydalı istismar müddətininin qiymətləndirilməsində itki əsas faktor hesab olunur. Qeyri-maddi </w:t>
      </w:r>
      <w:r w:rsidR="003C64E0" w:rsidRPr="009C2EF2">
        <w:rPr>
          <w:rFonts w:ascii="Times New Roman" w:hAnsi="Times New Roman"/>
          <w:i/>
          <w:color w:val="231F20"/>
          <w:spacing w:val="-1"/>
          <w:sz w:val="24"/>
          <w:szCs w:val="24"/>
          <w:lang w:val="az-Latn-AZ"/>
        </w:rPr>
        <w:t xml:space="preserve">aktivlərin </w:t>
      </w:r>
      <w:r w:rsidR="003C64E0" w:rsidRPr="009C2EF2">
        <w:rPr>
          <w:rFonts w:ascii="Times New Roman" w:hAnsi="Times New Roman"/>
          <w:color w:val="231F20"/>
          <w:spacing w:val="-1"/>
          <w:sz w:val="24"/>
          <w:szCs w:val="24"/>
          <w:lang w:val="az-Latn-AZ"/>
        </w:rPr>
        <w:t>qiymətləndirilməsi zamanı tətbiq olunan zərər müştərilərin gələcəkdə itirilməsi ilə bağlı gözləntilərin miqdarını ifadə edir.</w:t>
      </w:r>
    </w:p>
    <w:p w:rsidR="00D02DD9" w:rsidRPr="009C2EF2" w:rsidRDefault="003C64E0">
      <w:pPr>
        <w:pStyle w:val="a3"/>
        <w:kinsoku w:val="0"/>
        <w:overflowPunct w:val="0"/>
        <w:spacing w:line="250" w:lineRule="auto"/>
        <w:ind w:left="680" w:right="1101"/>
        <w:rPr>
          <w:rFonts w:ascii="Times New Roman" w:hAnsi="Times New Roman"/>
          <w:color w:val="000000"/>
          <w:sz w:val="24"/>
          <w:szCs w:val="24"/>
          <w:lang w:val="az-Latn-AZ"/>
        </w:rPr>
      </w:pPr>
      <w:r w:rsidRPr="009C2EF2">
        <w:rPr>
          <w:rFonts w:ascii="Times New Roman" w:hAnsi="Times New Roman"/>
          <w:color w:val="231F20"/>
          <w:sz w:val="24"/>
          <w:szCs w:val="24"/>
          <w:lang w:val="az-Latn-AZ"/>
        </w:rPr>
        <w:t>Bu cür qiymətləndirmə proqnoz xarakterli olsa da itki, adətən, əvvəlki müşahidələrə əsaslanır.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30639D" w:rsidRPr="009C2EF2" w:rsidRDefault="003C64E0">
      <w:pPr>
        <w:pStyle w:val="a3"/>
        <w:numPr>
          <w:ilvl w:val="1"/>
          <w:numId w:val="47"/>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Baş vermiş itkinin miqdarını müəyyən etməyin və onu tətbiq etməyin bir neçə </w:t>
      </w:r>
    </w:p>
    <w:p w:rsidR="00D02DD9" w:rsidRPr="009C2EF2" w:rsidRDefault="003C64E0" w:rsidP="0030639D">
      <w:pPr>
        <w:pStyle w:val="a3"/>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üsulu mövcuddur: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47"/>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müştəri itkisi müştəri əlaqələrinin müddətindən asılı olmadıqda müştəri əlaqələrinin müddəti üzrə zərərin sabit səviyyəsi (öncəki ilin balansının faiz göstəricisi) </w:t>
      </w:r>
      <w:r w:rsidRPr="009C2EF2">
        <w:rPr>
          <w:rFonts w:ascii="Times New Roman" w:hAnsi="Times New Roman"/>
          <w:i/>
          <w:color w:val="231F20"/>
          <w:spacing w:val="-1"/>
          <w:sz w:val="24"/>
          <w:szCs w:val="24"/>
          <w:lang w:val="az-Latn-AZ"/>
        </w:rPr>
        <w:t>nəzərə alına 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7"/>
        </w:numPr>
        <w:tabs>
          <w:tab w:val="left" w:pos="965"/>
        </w:tabs>
        <w:kinsoku w:val="0"/>
        <w:overflowPunct w:val="0"/>
        <w:spacing w:line="250" w:lineRule="auto"/>
        <w:ind w:left="964" w:right="152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müştəri itkisi müştəri əlaqələrinin müddətindən asılı olduqda müştəri əlaqələrinin müddəti üzrə dəyişkən faiz dərəcəsindən istifadə </w:t>
      </w:r>
      <w:r w:rsidRPr="009C2EF2">
        <w:rPr>
          <w:rFonts w:ascii="Times New Roman" w:hAnsi="Times New Roman"/>
          <w:i/>
          <w:color w:val="231F20"/>
          <w:spacing w:val="-1"/>
          <w:sz w:val="24"/>
          <w:szCs w:val="24"/>
          <w:lang w:val="az-Latn-AZ"/>
        </w:rPr>
        <w:t>oluna bilər.</w:t>
      </w:r>
      <w:r w:rsidRPr="009C2EF2">
        <w:rPr>
          <w:rFonts w:ascii="Times New Roman" w:hAnsi="Times New Roman"/>
          <w:color w:val="231F20"/>
          <w:sz w:val="24"/>
          <w:szCs w:val="24"/>
          <w:lang w:val="az-Latn-AZ"/>
        </w:rPr>
        <w:t xml:space="preserve"> Belə vəziyyətlərdə ümumilikdədaha dərin müştəri əlaqələrinin mövcud olduğu köhnə müştərilər ilə müqayisədə daha gənc / yeni müştərilər çox itirilir,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7"/>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itkinin həcmi müştəri qrupunun xarakteristikasına uyğun olaraq gəlirə və ya müştərilərin sayına əsaslanmaqla </w:t>
      </w:r>
      <w:r w:rsidRPr="009C2EF2">
        <w:rPr>
          <w:rFonts w:ascii="Times New Roman" w:hAnsi="Times New Roman"/>
          <w:i/>
          <w:color w:val="231F20"/>
          <w:spacing w:val="-1"/>
          <w:sz w:val="24"/>
          <w:szCs w:val="24"/>
          <w:lang w:val="az-Latn-AZ"/>
        </w:rPr>
        <w:t xml:space="preserve">müəyyən edilə bilər.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7"/>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müştəriləri müxtəlif qruplara ayırmaq </w:t>
      </w:r>
      <w:r w:rsidRPr="009C2EF2">
        <w:rPr>
          <w:rFonts w:ascii="Times New Roman" w:hAnsi="Times New Roman"/>
          <w:i/>
          <w:color w:val="231F20"/>
          <w:spacing w:val="-1"/>
          <w:sz w:val="24"/>
          <w:szCs w:val="24"/>
          <w:lang w:val="az-Latn-AZ"/>
        </w:rPr>
        <w:t>tələb oluna bilər</w:t>
      </w:r>
      <w:r w:rsidRPr="009C2EF2">
        <w:rPr>
          <w:rFonts w:ascii="Times New Roman" w:hAnsi="Times New Roman"/>
          <w:color w:val="231F20"/>
          <w:sz w:val="24"/>
          <w:szCs w:val="24"/>
          <w:lang w:val="az-Latn-AZ"/>
        </w:rPr>
        <w:t xml:space="preserve">. Məsələn, məhsulları distribüter və pərakəndə satış məntəqələrinə satan şirkət hər bir qrup üzrə fərqli itki dərəcəsi ilə </w:t>
      </w:r>
      <w:r w:rsidRPr="009C2EF2">
        <w:rPr>
          <w:rFonts w:ascii="Times New Roman" w:hAnsi="Times New Roman"/>
          <w:i/>
          <w:color w:val="231F20"/>
          <w:spacing w:val="-2"/>
          <w:sz w:val="24"/>
          <w:szCs w:val="24"/>
          <w:lang w:val="az-Latn-AZ"/>
        </w:rPr>
        <w:t>üzləşə bilər</w:t>
      </w:r>
      <w:r w:rsidRPr="009C2EF2">
        <w:rPr>
          <w:rFonts w:ascii="Times New Roman" w:hAnsi="Times New Roman"/>
          <w:color w:val="231F20"/>
          <w:sz w:val="24"/>
          <w:szCs w:val="24"/>
          <w:lang w:val="az-Latn-AZ"/>
        </w:rPr>
        <w:t xml:space="preserve">. Müştəriləri, həmçinin, ərazi xüsusiyyətləri, müştərinin sayı, satın alınan məhsulun və ya xidmətin növü kimi digər amillərə uyğun olaraq qruplara </w:t>
      </w:r>
      <w:r w:rsidRPr="009C2EF2">
        <w:rPr>
          <w:rFonts w:ascii="Times New Roman" w:hAnsi="Times New Roman"/>
          <w:i/>
          <w:color w:val="231F20"/>
          <w:spacing w:val="-1"/>
          <w:sz w:val="24"/>
          <w:szCs w:val="24"/>
          <w:lang w:val="az-Latn-AZ"/>
        </w:rPr>
        <w:t>ayırmaq olar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7"/>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itkinin həcmini müəyyən etmək üçün lazım olan müddət vəziyyətdən asılı olaraq </w:t>
      </w:r>
      <w:r w:rsidRPr="009C2EF2">
        <w:rPr>
          <w:rFonts w:ascii="Times New Roman" w:hAnsi="Times New Roman"/>
          <w:i/>
          <w:color w:val="231F20"/>
          <w:spacing w:val="-1"/>
          <w:sz w:val="24"/>
          <w:szCs w:val="24"/>
          <w:lang w:val="az-Latn-AZ"/>
        </w:rPr>
        <w:t>fərqlənə bilər</w:t>
      </w:r>
      <w:r w:rsidRPr="009C2EF2">
        <w:rPr>
          <w:rFonts w:ascii="Times New Roman" w:hAnsi="Times New Roman"/>
          <w:color w:val="231F20"/>
          <w:sz w:val="24"/>
          <w:szCs w:val="24"/>
          <w:lang w:val="az-Latn-AZ"/>
        </w:rPr>
        <w:t>. Məsələn, aylıq abunəçiləri olan bir müəssisə üçün müəyyən bir müştəridən bir ay gəlirin əldə olunmaması həmin müştərinin itirilməsini göstərir. Bunun əksinə olaraq, daha böyük sənaye məhsulları üzrə hər hansı bir müştəriyə bir il və ya daha uzun müddət ərzində heç bir satışın olmadığı hallar istisna olmaqla müştəri "itirilmiş" hesab oluna bilməz.</w:t>
      </w:r>
    </w:p>
    <w:p w:rsidR="00D02DD9" w:rsidRPr="009C2EF2" w:rsidRDefault="003C64E0">
      <w:pPr>
        <w:pStyle w:val="a3"/>
        <w:kinsoku w:val="0"/>
        <w:overflowPunct w:val="0"/>
        <w:spacing w:before="80"/>
        <w:ind w:left="2874" w:right="3725"/>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71</w:t>
      </w:r>
    </w:p>
    <w:p w:rsidR="00D02DD9" w:rsidRPr="009C2EF2" w:rsidRDefault="00D02DD9">
      <w:pPr>
        <w:pStyle w:val="a3"/>
        <w:kinsoku w:val="0"/>
        <w:overflowPunct w:val="0"/>
        <w:spacing w:before="80"/>
        <w:ind w:left="2874" w:right="3725"/>
        <w:jc w:val="center"/>
        <w:rPr>
          <w:rFonts w:ascii="Times New Roman" w:hAnsi="Times New Roman"/>
          <w:color w:val="000000"/>
          <w:sz w:val="24"/>
          <w:szCs w:val="24"/>
          <w:lang w:val="az-Latn-AZ"/>
        </w:rPr>
        <w:sectPr w:rsidR="00D02DD9" w:rsidRPr="009C2EF2">
          <w:footerReference w:type="default" r:id="rId7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29408" behindDoc="1" locked="0" layoutInCell="0" allowOverlap="1">
                <wp:simplePos x="0" y="0"/>
                <wp:positionH relativeFrom="page">
                  <wp:posOffset>0</wp:posOffset>
                </wp:positionH>
                <wp:positionV relativeFrom="page">
                  <wp:posOffset>0</wp:posOffset>
                </wp:positionV>
                <wp:extent cx="432435" cy="8424545"/>
                <wp:effectExtent l="0" t="0" r="0" b="0"/>
                <wp:wrapNone/>
                <wp:docPr id="108"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E3575E" id="Freeform 161" o:spid="_x0000_s1026" style="position:absolute;margin-left:0;margin-top:0;width:34.05pt;height:663.3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W3JaWQDAACG&#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1"/>
          <w:numId w:val="47"/>
        </w:numPr>
        <w:tabs>
          <w:tab w:val="left" w:pos="1531"/>
        </w:tabs>
        <w:kinsoku w:val="0"/>
        <w:overflowPunct w:val="0"/>
        <w:spacing w:before="77"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Hər hansı itki amilinin tətbiqi itkinin miqdarının müəyyən olunduğu üsula </w:t>
      </w:r>
      <w:r w:rsidRPr="009C2EF2">
        <w:rPr>
          <w:rFonts w:ascii="Times New Roman" w:hAnsi="Times New Roman"/>
          <w:i/>
          <w:color w:val="231F20"/>
          <w:spacing w:val="1"/>
          <w:sz w:val="24"/>
          <w:szCs w:val="24"/>
          <w:lang w:val="az-Latn-AZ"/>
        </w:rPr>
        <w:t>uyğun olmalıdır</w:t>
      </w:r>
      <w:r w:rsidRPr="009C2EF2">
        <w:rPr>
          <w:rFonts w:ascii="Times New Roman" w:hAnsi="Times New Roman"/>
          <w:color w:val="231F20"/>
          <w:sz w:val="24"/>
          <w:szCs w:val="24"/>
          <w:lang w:val="az-Latn-AZ"/>
        </w:rPr>
        <w:t xml:space="preserve">. İtki amilinin ilk proqnoz ilində (və ona uyğun olaraq bütün növbəti illər) düzgün tətbiqi itkinin miqdarını müəyyənetmə üsuluna </w:t>
      </w:r>
      <w:r w:rsidRPr="009C2EF2">
        <w:rPr>
          <w:rFonts w:ascii="Times New Roman" w:hAnsi="Times New Roman"/>
          <w:i/>
          <w:color w:val="231F20"/>
          <w:sz w:val="24"/>
          <w:szCs w:val="24"/>
          <w:lang w:val="az-Latn-AZ"/>
        </w:rPr>
        <w:t>uyğun olmalıdır</w:t>
      </w:r>
      <w:r w:rsidRPr="009C2EF2">
        <w:rPr>
          <w:rFonts w:ascii="Times New Roman" w:hAnsi="Times New Roman"/>
          <w:color w:val="231F20"/>
          <w:sz w:val="24"/>
          <w:szCs w:val="24"/>
          <w:lang w:val="az-Latn-AZ"/>
        </w:rPr>
        <w:t>.</w:t>
      </w:r>
    </w:p>
    <w:p w:rsidR="00D02DD9" w:rsidRPr="009C2EF2" w:rsidRDefault="0075026C" w:rsidP="00537609">
      <w:pPr>
        <w:pStyle w:val="a3"/>
        <w:numPr>
          <w:ilvl w:val="2"/>
          <w:numId w:val="47"/>
        </w:numPr>
        <w:tabs>
          <w:tab w:val="left" w:pos="1815"/>
        </w:tabs>
        <w:kinsoku w:val="0"/>
        <w:overflowPunct w:val="0"/>
        <w:spacing w:line="250" w:lineRule="auto"/>
        <w:ind w:left="1814" w:right="1216"/>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0624" behindDoc="0" locked="0" layoutInCell="0" allowOverlap="1">
                <wp:simplePos x="0" y="0"/>
                <wp:positionH relativeFrom="page">
                  <wp:posOffset>151130</wp:posOffset>
                </wp:positionH>
                <wp:positionV relativeFrom="paragraph">
                  <wp:posOffset>200660</wp:posOffset>
                </wp:positionV>
                <wp:extent cx="152400" cy="4203065"/>
                <wp:effectExtent l="0" t="0" r="0" b="0"/>
                <wp:wrapNone/>
                <wp:docPr id="10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20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10" type="#_x0000_t202" style="position:absolute;left:0;text-align:left;margin-left:11.9pt;margin-top:15.8pt;width:12pt;height:330.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h6sgIAALg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İtkinin həcmi dövrün əvvəlindəki müştəri sayının dövrün sonundakı (səciyyəvi olaraq bir il) müştəri sayı ilə müqayisəsinə əsaslanmaqla müəyyən edildikdə itki amili ilk proqnoz ili (müştərilərin adətən il boyu itirildiyi güman edildiyi üçün) üzrə "orta dövr"-dən istifadə etməklə </w:t>
      </w:r>
      <w:r w:rsidR="003C64E0" w:rsidRPr="009C2EF2">
        <w:rPr>
          <w:rFonts w:ascii="Times New Roman" w:hAnsi="Times New Roman"/>
          <w:i/>
          <w:color w:val="231F20"/>
          <w:spacing w:val="1"/>
          <w:sz w:val="24"/>
          <w:szCs w:val="24"/>
          <w:lang w:val="az-Latn-AZ"/>
        </w:rPr>
        <w:t>tətbiq olunmalıdır</w:t>
      </w:r>
      <w:r w:rsidR="003C64E0" w:rsidRPr="009C2EF2">
        <w:rPr>
          <w:rFonts w:ascii="Times New Roman" w:hAnsi="Times New Roman"/>
          <w:color w:val="231F20"/>
          <w:sz w:val="24"/>
          <w:szCs w:val="24"/>
          <w:lang w:val="az-Latn-AZ"/>
        </w:rPr>
        <w:t xml:space="preserve">.  Məsələn, itkinin həcmi ilin əvvəlindəki müştərilərin sayını (100) </w:t>
      </w:r>
      <w:r w:rsidR="003C64E0" w:rsidRPr="009C2EF2">
        <w:rPr>
          <w:rFonts w:ascii="Times New Roman" w:hAnsi="Times New Roman"/>
          <w:color w:val="231F20"/>
          <w:spacing w:val="-1"/>
          <w:sz w:val="24"/>
          <w:szCs w:val="24"/>
          <w:lang w:val="az-Latn-AZ"/>
        </w:rPr>
        <w:t xml:space="preserve">ilin axırındakı göstərici (90) ilə müqayisə edərək müəyyən olunduqda belə nəticə çıxır ki, həmin il ərzində şirkətin orta hesabla 95 müştərisi olub və müştəri itkisi il boyu tədricən baş verib. İtkinin faiz dərəcəsi 10% kimi göstərilə bilsə də, birinci il üçün onun yalnız yarısı </w:t>
      </w:r>
      <w:r w:rsidR="003C64E0" w:rsidRPr="009C2EF2">
        <w:rPr>
          <w:rFonts w:ascii="Times New Roman" w:hAnsi="Times New Roman"/>
          <w:i/>
          <w:color w:val="231F20"/>
          <w:spacing w:val="1"/>
          <w:sz w:val="24"/>
          <w:szCs w:val="24"/>
          <w:lang w:val="az-Latn-AZ"/>
        </w:rPr>
        <w:t>tətbiq olunmalıdır.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C11094">
      <w:pPr>
        <w:pStyle w:val="a3"/>
        <w:numPr>
          <w:ilvl w:val="2"/>
          <w:numId w:val="47"/>
        </w:numPr>
        <w:tabs>
          <w:tab w:val="left" w:pos="1815"/>
        </w:tabs>
        <w:kinsoku w:val="0"/>
        <w:overflowPunct w:val="0"/>
        <w:spacing w:line="250" w:lineRule="auto"/>
        <w:ind w:left="1814" w:right="120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İtkinin həcmi illik gəliri və ya müştəri sayını digər illərlə müqayisədə təhlil etməklə müəyyən olunduqda nəticədə ortaya çıxan itki amili orta dövr üzrə uyğunlaşma aparmadan ümumilikdə tətbiq olunmalıdır. Məsələn, itkinin həcmi 1-ci ildə gəlir yaradan müştərilərin sayını (100) 2-ci ildə gəlir yaradan həmin müştərilərin sayı (90) ilə müqayisə edərək müəyyən olunduqda itkinin faiz dərəcəsinin yenidən 10% kimi təsvir oluna bilməsinə baxmayaraq tətbiqetmə fərqli ola bilər.</w:t>
      </w:r>
    </w:p>
    <w:p w:rsidR="00D02DD9" w:rsidRPr="009C2EF2" w:rsidRDefault="003C64E0">
      <w:pPr>
        <w:pStyle w:val="a3"/>
        <w:numPr>
          <w:ilvl w:val="1"/>
          <w:numId w:val="47"/>
        </w:numPr>
        <w:tabs>
          <w:tab w:val="left" w:pos="1531"/>
        </w:tabs>
        <w:kinsoku w:val="0"/>
        <w:overflowPunct w:val="0"/>
        <w:spacing w:line="250" w:lineRule="auto"/>
        <w:ind w:right="161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Uyğunlaşma aparılmadığı təqdirdə gəlir əsaslı itkiyə mövcud müştərilərdən əldə olunan gəlirin miqdarındakı artım </w:t>
      </w:r>
      <w:r w:rsidRPr="009C2EF2">
        <w:rPr>
          <w:rFonts w:ascii="Times New Roman" w:hAnsi="Times New Roman"/>
          <w:i/>
          <w:color w:val="231F20"/>
          <w:spacing w:val="-1"/>
          <w:sz w:val="24"/>
          <w:szCs w:val="24"/>
          <w:lang w:val="az-Latn-AZ"/>
        </w:rPr>
        <w:t>daxil ola bilər</w:t>
      </w:r>
      <w:r w:rsidRPr="009C2EF2">
        <w:rPr>
          <w:rFonts w:ascii="Times New Roman" w:hAnsi="Times New Roman"/>
          <w:color w:val="231F20"/>
          <w:sz w:val="24"/>
          <w:szCs w:val="24"/>
          <w:lang w:val="az-Latn-AZ"/>
        </w:rPr>
        <w:t>. Bu, müəyyənetmə və tətbiqetmə üzrə artım və itkini ayırmaq üçün uyğunlaşma aparmağın ən yaxşı yoludur.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C11094">
      <w:pPr>
        <w:pStyle w:val="a3"/>
        <w:numPr>
          <w:ilvl w:val="1"/>
          <w:numId w:val="47"/>
        </w:numPr>
        <w:tabs>
          <w:tab w:val="left" w:pos="1531"/>
        </w:tabs>
        <w:kinsoku w:val="0"/>
        <w:overflowPunct w:val="0"/>
        <w:spacing w:line="250" w:lineRule="auto"/>
        <w:ind w:right="121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w:t>
      </w:r>
      <w:r w:rsidRPr="009C2EF2">
        <w:rPr>
          <w:rFonts w:ascii="Times New Roman" w:hAnsi="Times New Roman"/>
          <w:i/>
          <w:color w:val="231F20"/>
          <w:sz w:val="24"/>
          <w:szCs w:val="24"/>
          <w:lang w:val="az-Latn-AZ"/>
        </w:rPr>
        <w:t>qiymətləndiricilər</w:t>
      </w:r>
      <w:r w:rsidRPr="009C2EF2">
        <w:rPr>
          <w:rFonts w:ascii="Times New Roman" w:hAnsi="Times New Roman"/>
          <w:color w:val="231F20"/>
          <w:sz w:val="24"/>
          <w:szCs w:val="24"/>
          <w:lang w:val="az-Latn-AZ"/>
        </w:rPr>
        <w:t xml:space="preserve"> üçün əvvəlki gəliri istifadə olunan modelə tətbiq etmək və növbəti illərdə mövcud müştərilərdən əldə olunan faktiki gəlirin nə dərəcədə dəqiq proqnoz edilməsini yoxlamaq baxımından ən yaxşı üsuldur. İtkinin həcmi müvafiq qaydada müəyyənləşdirildikdə və tətbiq edildikdə model əsaslı şəkildə </w:t>
      </w:r>
      <w:r w:rsidRPr="009C2EF2">
        <w:rPr>
          <w:rFonts w:ascii="Times New Roman" w:hAnsi="Times New Roman"/>
          <w:i/>
          <w:color w:val="231F20"/>
          <w:spacing w:val="1"/>
          <w:sz w:val="24"/>
          <w:szCs w:val="24"/>
          <w:lang w:val="az-Latn-AZ"/>
        </w:rPr>
        <w:t>dəqiq olmalıdır</w:t>
      </w:r>
      <w:r w:rsidRPr="009C2EF2">
        <w:rPr>
          <w:rFonts w:ascii="Times New Roman" w:hAnsi="Times New Roman"/>
          <w:color w:val="231F20"/>
          <w:sz w:val="24"/>
          <w:szCs w:val="24"/>
          <w:lang w:val="az-Latn-AZ"/>
        </w:rPr>
        <w:t xml:space="preserve">. Məsələn, gələcək itki üzrə hesablamalar </w:t>
      </w:r>
      <w:r w:rsidRPr="009C2EF2">
        <w:rPr>
          <w:rFonts w:ascii="Times New Roman" w:hAnsi="Times New Roman"/>
          <w:color w:val="231F20"/>
          <w:sz w:val="24"/>
          <w:szCs w:val="24"/>
          <w:lang w:val="az-Latn-AZ"/>
        </w:rPr>
        <w:lastRenderedPageBreak/>
        <w:t xml:space="preserve">20X0-ci ildən 20X5-ci ilə qədər (20X5-ci il daxil olmaqla) müşahidə olunmuş itkiyə əsaslanmaqla aparıldıqda qiymətləndirici modelə 20X0-ci il üzrə müştəri gəlirini daxil etməli və 20X1, 20X2, və s. illər üzrə mövcud müştərilərdən əldə olunmuş gəlirin dəqiqliklə proqnoz edilib edilməməsini </w:t>
      </w:r>
      <w:r w:rsidRPr="009C2EF2">
        <w:rPr>
          <w:rFonts w:ascii="Times New Roman" w:hAnsi="Times New Roman"/>
          <w:i/>
          <w:color w:val="231F20"/>
          <w:sz w:val="24"/>
          <w:szCs w:val="24"/>
          <w:lang w:val="az-Latn-AZ"/>
        </w:rPr>
        <w:t>yoxlamalıdır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6"/>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3"/>
          <w:sz w:val="24"/>
          <w:szCs w:val="24"/>
          <w:lang w:val="az-Latn-AZ"/>
        </w:rPr>
        <w:t>Vergi Amortizasiyası Faydası (TAB)</w:t>
      </w:r>
    </w:p>
    <w:p w:rsidR="00D02DD9" w:rsidRPr="009C2EF2" w:rsidRDefault="003C64E0">
      <w:pPr>
        <w:pStyle w:val="a3"/>
        <w:numPr>
          <w:ilvl w:val="1"/>
          <w:numId w:val="46"/>
        </w:numPr>
        <w:tabs>
          <w:tab w:val="left" w:pos="1531"/>
        </w:tabs>
        <w:kinsoku w:val="0"/>
        <w:overflowPunct w:val="0"/>
        <w:spacing w:before="122" w:line="250" w:lineRule="auto"/>
        <w:ind w:right="164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Bir çox vergi </w:t>
      </w:r>
      <w:r w:rsidRPr="009C2EF2">
        <w:rPr>
          <w:rFonts w:ascii="Times New Roman" w:hAnsi="Times New Roman"/>
          <w:i/>
          <w:color w:val="231F20"/>
          <w:sz w:val="24"/>
          <w:szCs w:val="24"/>
          <w:lang w:val="az-Latn-AZ"/>
        </w:rPr>
        <w:t xml:space="preserve">yurisdiksiyalarında </w:t>
      </w:r>
      <w:r w:rsidRPr="009C2EF2">
        <w:rPr>
          <w:rFonts w:ascii="Times New Roman" w:hAnsi="Times New Roman"/>
          <w:color w:val="231F20"/>
          <w:sz w:val="24"/>
          <w:szCs w:val="24"/>
          <w:lang w:val="az-Latn-AZ"/>
        </w:rPr>
        <w:t xml:space="preserve">vergi ödəyicisinin vergi yükünü azaltmaq və pul axınlarını səmərəli şəkildə artırmaqla 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vergi ilə bağlı </w:t>
      </w:r>
      <w:r w:rsidRPr="009C2EF2">
        <w:rPr>
          <w:rFonts w:ascii="Times New Roman" w:hAnsi="Times New Roman"/>
          <w:i/>
          <w:color w:val="231F20"/>
          <w:sz w:val="24"/>
          <w:szCs w:val="24"/>
          <w:lang w:val="az-Latn-AZ"/>
        </w:rPr>
        <w:t xml:space="preserve">məqsədlərə </w:t>
      </w:r>
      <w:r w:rsidRPr="009C2EF2">
        <w:rPr>
          <w:rFonts w:ascii="Times New Roman" w:hAnsi="Times New Roman"/>
          <w:color w:val="231F20"/>
          <w:sz w:val="24"/>
          <w:szCs w:val="24"/>
          <w:lang w:val="az-Latn-AZ"/>
        </w:rPr>
        <w:t xml:space="preserve">uyğun olaraq amortizasiya edilə bilər. </w:t>
      </w:r>
      <w:r w:rsidRPr="009C2EF2">
        <w:rPr>
          <w:rFonts w:ascii="Times New Roman" w:hAnsi="Times New Roman"/>
          <w:i/>
          <w:color w:val="231F20"/>
          <w:spacing w:val="1"/>
          <w:sz w:val="24"/>
          <w:szCs w:val="24"/>
          <w:lang w:val="az-Latn-AZ"/>
        </w:rPr>
        <w:t xml:space="preserve">Qiymətləndirmənin məqsədindən </w:t>
      </w:r>
      <w:r w:rsidRPr="009C2EF2">
        <w:rPr>
          <w:rFonts w:ascii="Times New Roman" w:hAnsi="Times New Roman"/>
          <w:color w:val="231F20"/>
          <w:sz w:val="24"/>
          <w:szCs w:val="24"/>
          <w:lang w:val="az-Latn-AZ"/>
        </w:rPr>
        <w:t>və istifadə olunan qi</w:t>
      </w:r>
      <w:r w:rsidRPr="009C2EF2">
        <w:rPr>
          <w:rFonts w:ascii="Times New Roman" w:hAnsi="Times New Roman"/>
          <w:i/>
          <w:color w:val="231F20"/>
          <w:sz w:val="24"/>
          <w:szCs w:val="24"/>
          <w:lang w:val="az-Latn-AZ"/>
        </w:rPr>
        <w:t xml:space="preserve">ymətləndirmə üsulundan </w:t>
      </w:r>
      <w:r w:rsidRPr="009C2EF2">
        <w:rPr>
          <w:rFonts w:ascii="Times New Roman" w:hAnsi="Times New Roman"/>
          <w:color w:val="231F20"/>
          <w:sz w:val="24"/>
          <w:szCs w:val="24"/>
          <w:lang w:val="az-Latn-AZ"/>
        </w:rPr>
        <w:t xml:space="preserve">asılı olaraq o, qeyri-maddi aktivin </w:t>
      </w:r>
      <w:r w:rsidRPr="009C2EF2">
        <w:rPr>
          <w:rFonts w:ascii="Times New Roman" w:hAnsi="Times New Roman"/>
          <w:i/>
          <w:color w:val="231F20"/>
          <w:sz w:val="24"/>
          <w:szCs w:val="24"/>
          <w:lang w:val="az-Latn-AZ"/>
        </w:rPr>
        <w:t xml:space="preserve">dəyərinə </w:t>
      </w:r>
      <w:r w:rsidRPr="009C2EF2">
        <w:rPr>
          <w:rFonts w:ascii="Times New Roman" w:hAnsi="Times New Roman"/>
          <w:color w:val="231F20"/>
          <w:sz w:val="24"/>
          <w:szCs w:val="24"/>
          <w:lang w:val="az-Latn-AZ"/>
        </w:rPr>
        <w:t>TAB-ın dəyərini əlavə etmək üçün uyğun</w:t>
      </w:r>
      <w:r w:rsidRPr="009C2EF2">
        <w:rPr>
          <w:rFonts w:ascii="Times New Roman" w:hAnsi="Times New Roman"/>
          <w:i/>
          <w:color w:val="231F20"/>
          <w:spacing w:val="-1"/>
          <w:sz w:val="24"/>
          <w:szCs w:val="24"/>
          <w:lang w:val="az-Latn-AZ"/>
        </w:rPr>
        <w:t xml:space="preserve">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6"/>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və ya xərc yanaşması qeyri-maddi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qiymətini müəyyən etmək üçün tətbiq olunur.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z w:val="24"/>
          <w:szCs w:val="24"/>
          <w:lang w:val="az-Latn-AZ"/>
        </w:rPr>
        <w:t xml:space="preserve">yaratmaq və ya satın almaq üçün ödənilən qiymət </w:t>
      </w:r>
      <w:r w:rsidRPr="009C2EF2">
        <w:rPr>
          <w:rFonts w:ascii="Times New Roman" w:hAnsi="Times New Roman"/>
          <w:i/>
          <w:color w:val="231F20"/>
          <w:spacing w:val="-1"/>
          <w:sz w:val="24"/>
          <w:szCs w:val="24"/>
          <w:lang w:val="az-Latn-AZ"/>
        </w:rPr>
        <w:t xml:space="preserve">aktivi </w:t>
      </w:r>
      <w:r w:rsidRPr="009C2EF2">
        <w:rPr>
          <w:rFonts w:ascii="Times New Roman" w:hAnsi="Times New Roman"/>
          <w:color w:val="231F20"/>
          <w:sz w:val="24"/>
          <w:szCs w:val="24"/>
          <w:lang w:val="az-Latn-AZ"/>
        </w:rPr>
        <w:t>amortizasiya etmək imkanını əks etdirir. Lakin gəlir yanaşmasında müvafiq olduqda TAB-ın bilavasitə hesablanması və daxil edilməsi tələb olunur.</w:t>
      </w:r>
    </w:p>
    <w:p w:rsidR="00D02DD9" w:rsidRPr="009C2EF2" w:rsidRDefault="003C64E0">
      <w:pPr>
        <w:pStyle w:val="a3"/>
        <w:numPr>
          <w:ilvl w:val="1"/>
          <w:numId w:val="46"/>
        </w:numPr>
        <w:tabs>
          <w:tab w:val="left" w:pos="1531"/>
        </w:tabs>
        <w:kinsoku w:val="0"/>
        <w:overflowPunct w:val="0"/>
        <w:spacing w:line="250" w:lineRule="auto"/>
        <w:ind w:right="1339"/>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Maliyyə hesabatı kimi bəzi </w:t>
      </w:r>
      <w:r w:rsidRPr="009C2EF2">
        <w:rPr>
          <w:rFonts w:ascii="Times New Roman" w:hAnsi="Times New Roman"/>
          <w:i/>
          <w:color w:val="231F20"/>
          <w:sz w:val="24"/>
          <w:szCs w:val="24"/>
          <w:lang w:val="az-Latn-AZ"/>
        </w:rPr>
        <w:t xml:space="preserve">qiymətləndirmə məqsədləri </w:t>
      </w:r>
      <w:r w:rsidRPr="009C2EF2">
        <w:rPr>
          <w:rFonts w:ascii="Times New Roman" w:hAnsi="Times New Roman"/>
          <w:color w:val="231F20"/>
          <w:spacing w:val="-1"/>
          <w:sz w:val="24"/>
          <w:szCs w:val="24"/>
          <w:lang w:val="az-Latn-AZ"/>
        </w:rPr>
        <w:t xml:space="preserve">ilə bağlı olaraq dəyərin müvafiq əsası qeyri-maddi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hipotetik satışını nəzərə alır. Ümumilikdə həmin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 xml:space="preserve">ilə bağlı olaraq səciyyəvi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pacing w:val="-1"/>
          <w:sz w:val="24"/>
          <w:szCs w:val="24"/>
          <w:lang w:val="az-Latn-AZ"/>
        </w:rPr>
        <w:t xml:space="preserve">bu cür hipotetik əməliyyatda əldə edilən qeyri-maddi aktivi amortizasiya etməsi üçün gəlir yanaşması tətbiq olunduqda TAB </w:t>
      </w:r>
      <w:r w:rsidRPr="009C2EF2">
        <w:rPr>
          <w:rFonts w:ascii="Times New Roman" w:hAnsi="Times New Roman"/>
          <w:i/>
          <w:color w:val="231F20"/>
          <w:spacing w:val="1"/>
          <w:sz w:val="24"/>
          <w:szCs w:val="24"/>
          <w:lang w:val="az-Latn-AZ"/>
        </w:rPr>
        <w:t>daxil edilməlidir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72</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7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0432" behindDoc="1" locked="0" layoutInCell="0" allowOverlap="1">
                <wp:simplePos x="0" y="0"/>
                <wp:positionH relativeFrom="page">
                  <wp:posOffset>5183505</wp:posOffset>
                </wp:positionH>
                <wp:positionV relativeFrom="page">
                  <wp:posOffset>0</wp:posOffset>
                </wp:positionV>
                <wp:extent cx="431800" cy="8423910"/>
                <wp:effectExtent l="0" t="0" r="0" b="0"/>
                <wp:wrapNone/>
                <wp:docPr id="10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E6EA3BD" id="Freeform 163" o:spid="_x0000_s1026" style="position:absolute;margin-left:408.15pt;margin-top:0;width:34pt;height:663.3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fX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p+kH13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rsidP="0030639D">
      <w:pPr>
        <w:pStyle w:val="a3"/>
        <w:kinsoku w:val="0"/>
        <w:overflowPunct w:val="0"/>
        <w:spacing w:before="77" w:line="250" w:lineRule="auto"/>
        <w:ind w:left="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Digər </w:t>
      </w:r>
      <w:r w:rsidRPr="009C2EF2">
        <w:rPr>
          <w:rFonts w:ascii="Times New Roman" w:hAnsi="Times New Roman"/>
          <w:i/>
          <w:color w:val="231F20"/>
          <w:sz w:val="24"/>
          <w:szCs w:val="24"/>
          <w:lang w:val="az-Latn-AZ"/>
        </w:rPr>
        <w:t xml:space="preserve">qiymətləndirmə məqsədləri </w:t>
      </w:r>
      <w:r w:rsidRPr="009C2EF2">
        <w:rPr>
          <w:rFonts w:ascii="Times New Roman" w:hAnsi="Times New Roman"/>
          <w:color w:val="231F20"/>
          <w:sz w:val="24"/>
          <w:szCs w:val="24"/>
          <w:lang w:val="az-Latn-AZ"/>
        </w:rPr>
        <w:t xml:space="preserve">ilə bağlı olaraq, nəzərdə tutulan əməliyyat müəssisə və ya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qrupuna aid ola bilər. Dəyər bazalarına gəlincə, əməliyyat yalnız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üzrə bazada artım ilə nəticələndikdə TAB-a </w:t>
      </w:r>
      <w:r w:rsidRPr="009C2EF2">
        <w:rPr>
          <w:rFonts w:ascii="Times New Roman" w:hAnsi="Times New Roman"/>
          <w:i/>
          <w:color w:val="231F20"/>
          <w:spacing w:val="-1"/>
          <w:sz w:val="24"/>
          <w:szCs w:val="24"/>
          <w:lang w:val="az-Latn-AZ"/>
        </w:rPr>
        <w:t>uyğun ola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6"/>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TAB-ın hesablanması zamanı tətbiq olunan müvafiq diskont faiz dərəcəsi ilə bağlı təcrübədə müəyyən fərqlilik mövcuddur. Qiymətləndiricilər aşağıdakıların hər hansı birindən </w:t>
      </w:r>
      <w:r w:rsidRPr="009C2EF2">
        <w:rPr>
          <w:rFonts w:ascii="Times New Roman" w:hAnsi="Times New Roman"/>
          <w:i/>
          <w:color w:val="231F20"/>
          <w:spacing w:val="-1"/>
          <w:sz w:val="24"/>
          <w:szCs w:val="24"/>
          <w:lang w:val="az-Latn-AZ"/>
        </w:rPr>
        <w:t>istifadə edə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6"/>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kapitalın orta </w:t>
      </w:r>
      <w:r w:rsidRPr="009C2EF2">
        <w:rPr>
          <w:rFonts w:ascii="Times New Roman" w:hAnsi="Times New Roman"/>
          <w:i/>
          <w:color w:val="231F20"/>
          <w:sz w:val="24"/>
          <w:szCs w:val="24"/>
          <w:lang w:val="az-Latn-AZ"/>
        </w:rPr>
        <w:t xml:space="preserve">çəki </w:t>
      </w:r>
      <w:r w:rsidRPr="009C2EF2">
        <w:rPr>
          <w:rFonts w:ascii="Times New Roman" w:hAnsi="Times New Roman"/>
          <w:color w:val="231F20"/>
          <w:sz w:val="24"/>
          <w:szCs w:val="24"/>
          <w:lang w:val="az-Latn-AZ"/>
        </w:rPr>
        <w:t xml:space="preserve">dəyəri kimi müvafiq </w:t>
      </w:r>
      <w:r w:rsidRPr="009C2EF2">
        <w:rPr>
          <w:rFonts w:ascii="Times New Roman" w:hAnsi="Times New Roman"/>
          <w:i/>
          <w:color w:val="231F20"/>
          <w:spacing w:val="-1"/>
          <w:sz w:val="24"/>
          <w:szCs w:val="24"/>
          <w:lang w:val="az-Latn-AZ"/>
        </w:rPr>
        <w:t xml:space="preserve">aktivdən </w:t>
      </w:r>
      <w:r w:rsidRPr="009C2EF2">
        <w:rPr>
          <w:rFonts w:ascii="Times New Roman" w:hAnsi="Times New Roman"/>
          <w:color w:val="231F20"/>
          <w:sz w:val="24"/>
          <w:szCs w:val="24"/>
          <w:lang w:val="az-Latn-AZ"/>
        </w:rPr>
        <w:t xml:space="preserve">istifadə edən müəssisəyə uyğun olan diskont faiz dərəcəsi.  Bu fikrin tərəfdarları iddia edirlər ki, amortizasiya müəssisənin yaratdığı gəlir üzrə  </w:t>
      </w:r>
    </w:p>
    <w:p w:rsidR="00D02DD9" w:rsidRPr="009C2EF2" w:rsidRDefault="003C64E0">
      <w:pPr>
        <w:pStyle w:val="a3"/>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vergi güzəştləri tətbiq etmək üçün istifadə oluna bildiyinə görə biznes üçün uyğun olan diskont faiz dərəcəsi bütünlükdə istifadə </w:t>
      </w:r>
      <w:r w:rsidRPr="009C2EF2">
        <w:rPr>
          <w:rFonts w:ascii="Times New Roman" w:hAnsi="Times New Roman"/>
          <w:i/>
          <w:color w:val="231F20"/>
          <w:spacing w:val="1"/>
          <w:sz w:val="24"/>
          <w:szCs w:val="24"/>
          <w:lang w:val="az-Latn-AZ"/>
        </w:rPr>
        <w:t xml:space="preserve">olunmalıdır </w:t>
      </w:r>
      <w:r w:rsidRPr="009C2EF2">
        <w:rPr>
          <w:rFonts w:ascii="Times New Roman" w:hAnsi="Times New Roman"/>
          <w:color w:val="231F20"/>
          <w:spacing w:val="-1"/>
          <w:sz w:val="24"/>
          <w:szCs w:val="24"/>
          <w:lang w:val="az-Latn-AZ"/>
        </w:rPr>
        <w:t>və ya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46"/>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1648" behindDoc="0" locked="0" layoutInCell="0" allowOverlap="1">
                <wp:simplePos x="0" y="0"/>
                <wp:positionH relativeFrom="page">
                  <wp:posOffset>5276215</wp:posOffset>
                </wp:positionH>
                <wp:positionV relativeFrom="paragraph">
                  <wp:posOffset>359410</wp:posOffset>
                </wp:positionV>
                <wp:extent cx="152400" cy="2733675"/>
                <wp:effectExtent l="0" t="0" r="0" b="0"/>
                <wp:wrapNone/>
                <wp:docPr id="10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11" type="#_x0000_t202" style="position:absolute;left:0;text-align:left;margin-left:415.45pt;margin-top:28.3pt;width:12pt;height:215.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qPrw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210 Qeyri-maddi aktivlər</w:t>
                      </w:r>
                    </w:p>
                  </w:txbxContent>
                </v:textbox>
                <w10:wrap anchorx="page"/>
              </v:shape>
            </w:pict>
          </mc:Fallback>
        </mc:AlternateContent>
      </w:r>
      <w:r w:rsidR="003C64E0" w:rsidRPr="009C2EF2">
        <w:rPr>
          <w:rFonts w:ascii="Times New Roman" w:hAnsi="Times New Roman"/>
          <w:color w:val="231F20"/>
          <w:sz w:val="24"/>
          <w:szCs w:val="24"/>
          <w:lang w:val="az-Latn-AZ"/>
        </w:rPr>
        <w:t xml:space="preserve">müəyyən qeyri-maddi </w:t>
      </w:r>
      <w:r w:rsidR="003C64E0" w:rsidRPr="009C2EF2">
        <w:rPr>
          <w:rFonts w:ascii="Times New Roman" w:hAnsi="Times New Roman"/>
          <w:i/>
          <w:color w:val="231F20"/>
          <w:sz w:val="24"/>
          <w:szCs w:val="24"/>
          <w:lang w:val="az-Latn-AZ"/>
        </w:rPr>
        <w:t xml:space="preserve">aktivə </w:t>
      </w:r>
      <w:r w:rsidR="003C64E0" w:rsidRPr="009C2EF2">
        <w:rPr>
          <w:rFonts w:ascii="Times New Roman" w:hAnsi="Times New Roman"/>
          <w:color w:val="231F20"/>
          <w:sz w:val="24"/>
          <w:szCs w:val="24"/>
          <w:lang w:val="az-Latn-AZ"/>
        </w:rPr>
        <w:t xml:space="preserve">(yəni,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qiymətləndirilməsi zamanı tətbiq olunan) uyğun olan diskont faiz dərəcəsi. Bu fikrin tərəfdarlarına görə, qiymətləndirmə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sahibinin həmin </w: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z w:val="24"/>
          <w:szCs w:val="24"/>
          <w:lang w:val="az-Latn-AZ"/>
        </w:rPr>
        <w:t>xaricində əməliyyatlar aparması və gəlir əldə etməsini</w:t>
      </w:r>
      <w:r w:rsidR="003C64E0" w:rsidRPr="009C2EF2">
        <w:rPr>
          <w:rFonts w:ascii="Times New Roman" w:hAnsi="Times New Roman"/>
          <w:i/>
          <w:color w:val="231F20"/>
          <w:spacing w:val="1"/>
          <w:sz w:val="24"/>
          <w:szCs w:val="24"/>
          <w:lang w:val="az-Latn-AZ"/>
        </w:rPr>
        <w:t xml:space="preserve"> nəzərdə tutmamalıdır </w:t>
      </w:r>
      <w:r w:rsidR="003C64E0" w:rsidRPr="009C2EF2">
        <w:rPr>
          <w:rFonts w:ascii="Times New Roman" w:hAnsi="Times New Roman"/>
          <w:color w:val="231F20"/>
          <w:sz w:val="24"/>
          <w:szCs w:val="24"/>
          <w:lang w:val="az-Latn-AZ"/>
        </w:rPr>
        <w:t xml:space="preserve">və TAB-ı hesablayarkən istifadə olunan diskont faiz dərəcəsi </w:t>
      </w:r>
      <w:r w:rsidR="003C64E0" w:rsidRPr="009C2EF2">
        <w:rPr>
          <w:rFonts w:ascii="Times New Roman" w:hAnsi="Times New Roman"/>
          <w:i/>
          <w:color w:val="231F20"/>
          <w:spacing w:val="-1"/>
          <w:sz w:val="24"/>
          <w:szCs w:val="24"/>
          <w:lang w:val="az-Latn-AZ"/>
        </w:rPr>
        <w:t xml:space="preserve">aktivin </w:t>
      </w:r>
      <w:r w:rsidR="003C64E0" w:rsidRPr="009C2EF2">
        <w:rPr>
          <w:rFonts w:ascii="Times New Roman" w:hAnsi="Times New Roman"/>
          <w:color w:val="231F20"/>
          <w:sz w:val="24"/>
          <w:szCs w:val="24"/>
          <w:lang w:val="az-Latn-AZ"/>
        </w:rPr>
        <w:t xml:space="preserve">qiymətləndirilməsi zamanı tətbiq olunan diskont faiz dərəcəsi ilə </w:t>
      </w:r>
      <w:r w:rsidR="003C64E0" w:rsidRPr="009C2EF2">
        <w:rPr>
          <w:rFonts w:ascii="Times New Roman" w:hAnsi="Times New Roman"/>
          <w:i/>
          <w:color w:val="231F20"/>
          <w:spacing w:val="1"/>
          <w:sz w:val="24"/>
          <w:szCs w:val="24"/>
          <w:lang w:val="az-Latn-AZ"/>
        </w:rPr>
        <w:t>eyni olmalıdır.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73</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7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1456" behindDoc="1" locked="0" layoutInCell="0" allowOverlap="1">
                <wp:simplePos x="0" y="0"/>
                <wp:positionH relativeFrom="page">
                  <wp:posOffset>0</wp:posOffset>
                </wp:positionH>
                <wp:positionV relativeFrom="page">
                  <wp:posOffset>0</wp:posOffset>
                </wp:positionV>
                <wp:extent cx="432435" cy="8424545"/>
                <wp:effectExtent l="0" t="0" r="0" b="0"/>
                <wp:wrapNone/>
                <wp:docPr id="10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F99457" id="Freeform 165" o:spid="_x0000_s1026" style="position:absolute;margin-left:0;margin-top:0;width:34.05pt;height:663.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B4WCeUYwMAAIY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bookmarkStart w:id="11" w:name="bookmark10"/>
      <w:bookmarkEnd w:id="11"/>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7"/>
        <w:ind w:left="0"/>
        <w:rPr>
          <w:rFonts w:ascii="Times New Roman" w:hAnsi="Times New Roman"/>
          <w:i/>
          <w:sz w:val="24"/>
          <w:szCs w:val="24"/>
          <w:lang w:val="az-Latn-AZ"/>
        </w:rPr>
      </w:pPr>
    </w:p>
    <w:p w:rsidR="00D02DD9" w:rsidRPr="009C2EF2" w:rsidRDefault="003C64E0">
      <w:pPr>
        <w:pStyle w:val="Heading21"/>
        <w:kinsoku w:val="0"/>
        <w:overflowPunct w:val="0"/>
        <w:ind w:left="963"/>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300 İstehsalat vasitələri, Maşın və Avadanlıqlar</w:t>
      </w:r>
    </w:p>
    <w:p w:rsidR="00D02DD9" w:rsidRPr="009C2EF2" w:rsidRDefault="00D02DD9">
      <w:pPr>
        <w:pStyle w:val="a3"/>
        <w:kinsoku w:val="0"/>
        <w:overflowPunct w:val="0"/>
        <w:spacing w:before="1"/>
        <w:ind w:left="0"/>
        <w:rPr>
          <w:rFonts w:ascii="Times New Roman" w:hAnsi="Times New Roman"/>
          <w:b/>
          <w:sz w:val="24"/>
          <w:szCs w:val="24"/>
          <w:lang w:val="az-Latn-AZ"/>
        </w:rPr>
      </w:pPr>
    </w:p>
    <w:tbl>
      <w:tblPr>
        <w:tblW w:w="0" w:type="auto"/>
        <w:tblInd w:w="964" w:type="dxa"/>
        <w:tblLayout w:type="fixed"/>
        <w:tblCellMar>
          <w:left w:w="0" w:type="dxa"/>
          <w:right w:w="0" w:type="dxa"/>
        </w:tblCellMar>
        <w:tblLook w:val="04A0" w:firstRow="1" w:lastRow="0" w:firstColumn="1" w:lastColumn="0" w:noHBand="0" w:noVBand="1"/>
      </w:tblPr>
      <w:tblGrid>
        <w:gridCol w:w="4799"/>
        <w:gridCol w:w="1947"/>
      </w:tblGrid>
      <w:tr w:rsidR="00D02DD9" w:rsidRPr="009C2EF2">
        <w:trPr>
          <w:trHeight w:hRule="exact" w:val="843"/>
        </w:trPr>
        <w:tc>
          <w:tcPr>
            <w:tcW w:w="4799" w:type="dxa"/>
            <w:tcBorders>
              <w:top w:val="nil"/>
              <w:left w:val="nil"/>
              <w:bottom w:val="nil"/>
              <w:right w:val="nil"/>
            </w:tcBorders>
            <w:shd w:val="clear" w:color="auto" w:fill="E6E7E8"/>
          </w:tcPr>
          <w:p w:rsidR="00D02DD9" w:rsidRPr="009C2EF2" w:rsidRDefault="00D02DD9">
            <w:pPr>
              <w:pStyle w:val="TableParagraph"/>
              <w:kinsoku w:val="0"/>
              <w:overflowPunct w:val="0"/>
              <w:spacing w:before="11"/>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947" w:type="dxa"/>
            <w:tcBorders>
              <w:top w:val="nil"/>
              <w:left w:val="nil"/>
              <w:bottom w:val="nil"/>
              <w:right w:val="nil"/>
            </w:tcBorders>
            <w:shd w:val="clear" w:color="auto" w:fill="E6E7E8"/>
          </w:tcPr>
          <w:p w:rsidR="00D02DD9" w:rsidRPr="009C2EF2" w:rsidRDefault="00D02DD9">
            <w:pPr>
              <w:pStyle w:val="TableParagraph"/>
              <w:kinsoku w:val="0"/>
              <w:overflowPunct w:val="0"/>
              <w:spacing w:before="11"/>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İstehsalat vasitələri, maşın və avadanlıqlar üzrə xüsusi mülahizələr</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465"/>
        </w:trPr>
        <w:tc>
          <w:tcPr>
            <w:tcW w:w="4799"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Maliyyə sazişləri</w:t>
            </w:r>
          </w:p>
        </w:tc>
        <w:tc>
          <w:tcPr>
            <w:tcW w:w="1947"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w w:val="95"/>
                <w:sz w:val="24"/>
                <w:szCs w:val="24"/>
                <w:lang w:val="az-Latn-AZ"/>
              </w:rPr>
              <w:t>90</w:t>
            </w:r>
          </w:p>
        </w:tc>
      </w:tr>
    </w:tbl>
    <w:p w:rsidR="00D02DD9" w:rsidRPr="009C2EF2" w:rsidRDefault="00D02DD9">
      <w:pPr>
        <w:pStyle w:val="a3"/>
        <w:kinsoku w:val="0"/>
        <w:overflowPunct w:val="0"/>
        <w:spacing w:before="1"/>
        <w:ind w:left="0"/>
        <w:rPr>
          <w:rFonts w:ascii="Times New Roman" w:hAnsi="Times New Roman"/>
          <w:b/>
          <w:sz w:val="24"/>
          <w:szCs w:val="24"/>
          <w:lang w:val="az-Latn-AZ"/>
        </w:rPr>
      </w:pPr>
    </w:p>
    <w:p w:rsidR="00D02DD9" w:rsidRPr="009C2EF2" w:rsidRDefault="0075026C">
      <w:pPr>
        <w:pStyle w:val="Heading41"/>
        <w:numPr>
          <w:ilvl w:val="0"/>
          <w:numId w:val="45"/>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2672" behindDoc="0" locked="0" layoutInCell="0" allowOverlap="1">
                <wp:simplePos x="0" y="0"/>
                <wp:positionH relativeFrom="page">
                  <wp:posOffset>151130</wp:posOffset>
                </wp:positionH>
                <wp:positionV relativeFrom="paragraph">
                  <wp:posOffset>-207010</wp:posOffset>
                </wp:positionV>
                <wp:extent cx="152400" cy="2959100"/>
                <wp:effectExtent l="0" t="0" r="0" b="0"/>
                <wp:wrapNone/>
                <wp:docPr id="10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2" type="#_x0000_t202" style="position:absolute;left:0;text-align:left;margin-left:11.9pt;margin-top:-16.3pt;width:12pt;height:23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color w:val="231F20"/>
          <w:spacing w:val="2"/>
          <w:sz w:val="24"/>
          <w:szCs w:val="24"/>
          <w:lang w:val="az-Latn-AZ"/>
        </w:rPr>
        <w:t>İcmal</w:t>
      </w:r>
    </w:p>
    <w:p w:rsidR="00D02DD9" w:rsidRPr="009C2EF2" w:rsidRDefault="003C64E0">
      <w:pPr>
        <w:pStyle w:val="a3"/>
        <w:numPr>
          <w:ilvl w:val="1"/>
          <w:numId w:val="45"/>
        </w:numPr>
        <w:tabs>
          <w:tab w:val="left" w:pos="1531"/>
        </w:tabs>
        <w:kinsoku w:val="0"/>
        <w:overflowPunct w:val="0"/>
        <w:spacing w:before="122" w:line="250" w:lineRule="auto"/>
        <w:ind w:right="1302"/>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standartlarda nəzərdə tutulan prinsiplər istehsalat vasitələri, maşın və avadanlıqların qiymətləndirilməsi zamanı tətbiq olunur. Bu standarta yalnız düzəlişlər, əlavə prinsiplər və ya bu standartın tətbiq olunduğu qiymətləndirmələr üzrə Əsas Standartların tətbiq olunma qaydasını özündə əks etdirən xüsusi nümunələr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4"/>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44"/>
        </w:numPr>
        <w:tabs>
          <w:tab w:val="left" w:pos="1531"/>
        </w:tabs>
        <w:kinsoku w:val="0"/>
        <w:overflowPunct w:val="0"/>
        <w:spacing w:before="122"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avadanlıqlar obyekti (bəzən xüsusi mülkiyyətin bir növü kimi təsnif </w:t>
      </w:r>
      <w:r w:rsidRPr="009C2EF2">
        <w:rPr>
          <w:rFonts w:ascii="Times New Roman" w:hAnsi="Times New Roman"/>
          <w:i/>
          <w:color w:val="231F20"/>
          <w:spacing w:val="-1"/>
          <w:sz w:val="24"/>
          <w:szCs w:val="24"/>
          <w:lang w:val="az-Latn-AZ"/>
        </w:rPr>
        <w:t>oluna bilən</w:t>
      </w:r>
      <w:r w:rsidRPr="009C2EF2">
        <w:rPr>
          <w:rFonts w:ascii="Times New Roman" w:hAnsi="Times New Roman"/>
          <w:color w:val="231F20"/>
          <w:sz w:val="24"/>
          <w:szCs w:val="24"/>
          <w:lang w:val="az-Latn-AZ"/>
        </w:rPr>
        <w:t xml:space="preserve">) müəssisə tərəfindən, adətən, istehsal prosesi və ya mal və ya xidmətlərin təchizi zamanı istifadə etmək və digərlərinə icarəyə vermək üçün əldə edilən və ya inzibati </w:t>
      </w:r>
      <w:r w:rsidRPr="009C2EF2">
        <w:rPr>
          <w:rFonts w:ascii="Times New Roman" w:hAnsi="Times New Roman"/>
          <w:i/>
          <w:color w:val="231F20"/>
          <w:sz w:val="24"/>
          <w:szCs w:val="24"/>
          <w:lang w:val="az-Latn-AZ"/>
        </w:rPr>
        <w:t xml:space="preserve">məqsədlərlə </w:t>
      </w:r>
      <w:r w:rsidRPr="009C2EF2">
        <w:rPr>
          <w:rFonts w:ascii="Times New Roman" w:hAnsi="Times New Roman"/>
          <w:color w:val="231F20"/>
          <w:sz w:val="24"/>
          <w:szCs w:val="24"/>
          <w:lang w:val="az-Latn-AZ"/>
        </w:rPr>
        <w:t xml:space="preserve">müəyyən müddət ərzində istifadə edilməsi nəzərdə tutulan maddi </w:t>
      </w:r>
      <w:r w:rsidRPr="009C2EF2">
        <w:rPr>
          <w:rFonts w:ascii="Times New Roman" w:hAnsi="Times New Roman"/>
          <w:i/>
          <w:color w:val="231F20"/>
          <w:sz w:val="24"/>
          <w:szCs w:val="24"/>
          <w:lang w:val="az-Latn-AZ"/>
        </w:rPr>
        <w:t>aktivlərdir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44"/>
        </w:numPr>
        <w:tabs>
          <w:tab w:val="left" w:pos="1531"/>
        </w:tabs>
        <w:kinsoku w:val="0"/>
        <w:overflowPunct w:val="0"/>
        <w:spacing w:line="250" w:lineRule="auto"/>
        <w:ind w:right="129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Maşın və avadanlıqların icarəsi zamanı mexanizm və avadanlıqlardan istifadə hüququ bu standarta uyğun olmalıdır</w:t>
      </w:r>
      <w:r w:rsidRPr="009C2EF2">
        <w:rPr>
          <w:rFonts w:ascii="Times New Roman" w:hAnsi="Times New Roman"/>
          <w:color w:val="231F20"/>
          <w:sz w:val="24"/>
          <w:szCs w:val="24"/>
          <w:lang w:val="az-Latn-AZ"/>
        </w:rPr>
        <w:t xml:space="preserve">. Həmçinin </w:t>
      </w:r>
      <w:r w:rsidRPr="009C2EF2">
        <w:rPr>
          <w:rFonts w:ascii="Times New Roman" w:hAnsi="Times New Roman"/>
          <w:i/>
          <w:color w:val="231F20"/>
          <w:sz w:val="24"/>
          <w:szCs w:val="24"/>
          <w:lang w:val="az-Latn-AZ"/>
        </w:rPr>
        <w:t>qeyd olunmalıdır</w:t>
      </w:r>
      <w:r w:rsidRPr="009C2EF2">
        <w:rPr>
          <w:rFonts w:ascii="Times New Roman" w:hAnsi="Times New Roman"/>
          <w:color w:val="231F20"/>
          <w:sz w:val="24"/>
          <w:szCs w:val="24"/>
          <w:lang w:val="az-Latn-AZ"/>
        </w:rPr>
        <w:t xml:space="preserve"> ki, </w:t>
      </w:r>
      <w:r w:rsidRPr="009C2EF2">
        <w:rPr>
          <w:rFonts w:ascii="Times New Roman" w:hAnsi="Times New Roman"/>
          <w:i/>
          <w:color w:val="231F20"/>
          <w:sz w:val="24"/>
          <w:szCs w:val="24"/>
          <w:lang w:val="az-Latn-AZ"/>
        </w:rPr>
        <w:t xml:space="preserve">aktivdən </w:t>
      </w:r>
      <w:r w:rsidRPr="009C2EF2">
        <w:rPr>
          <w:rFonts w:ascii="Times New Roman" w:hAnsi="Times New Roman"/>
          <w:color w:val="231F20"/>
          <w:sz w:val="24"/>
          <w:szCs w:val="24"/>
          <w:lang w:val="az-Latn-AZ"/>
        </w:rPr>
        <w:t xml:space="preserve">"istifadə hüququ"nun müddəti əsas maşın və avadanlıqların istismar müddətindən (ilkin və texniki xidməti nəzərə almaqla) fərqli ola bilər və belə hallarda istismar müddəti </w:t>
      </w:r>
      <w:r w:rsidRPr="009C2EF2">
        <w:rPr>
          <w:rFonts w:ascii="Times New Roman" w:hAnsi="Times New Roman"/>
          <w:i/>
          <w:color w:val="231F20"/>
          <w:sz w:val="24"/>
          <w:szCs w:val="24"/>
          <w:lang w:val="az-Latn-AZ"/>
        </w:rPr>
        <w:t>göstərilməlidir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qrupunun bir hissəsi kimi ən yaxşı və ən səmərəli üsulun tətbiq olunduğu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müvafiq fərziyyələr nəzərə alınmaqla qiymətləndirilməlidir. Alt sistemlərə aid olan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əsas sistemdən sərbəst şəkildə a</w:t>
      </w:r>
      <w:r w:rsidRPr="009C2EF2">
        <w:rPr>
          <w:rFonts w:ascii="Times New Roman" w:hAnsi="Times New Roman"/>
          <w:i/>
          <w:color w:val="231F20"/>
          <w:spacing w:val="-1"/>
          <w:sz w:val="24"/>
          <w:szCs w:val="24"/>
          <w:lang w:val="az-Latn-AZ"/>
        </w:rPr>
        <w:t>yrıla bilmədikdə</w:t>
      </w:r>
      <w:r w:rsidRPr="009C2EF2">
        <w:rPr>
          <w:rFonts w:ascii="Times New Roman" w:hAnsi="Times New Roman"/>
          <w:color w:val="231F20"/>
          <w:sz w:val="24"/>
          <w:szCs w:val="24"/>
          <w:lang w:val="az-Latn-AZ"/>
        </w:rPr>
        <w:t xml:space="preserve"> həmin alt sistemlər müvafiq fərziyyələr irəli sürülməklə alt ayrıca </w:t>
      </w:r>
      <w:r w:rsidRPr="009C2EF2">
        <w:rPr>
          <w:rFonts w:ascii="Times New Roman" w:hAnsi="Times New Roman"/>
          <w:i/>
          <w:color w:val="231F20"/>
          <w:spacing w:val="-1"/>
          <w:sz w:val="24"/>
          <w:szCs w:val="24"/>
          <w:lang w:val="az-Latn-AZ"/>
        </w:rPr>
        <w:t>qiymətləndirilə bilər</w:t>
      </w:r>
      <w:r w:rsidRPr="009C2EF2">
        <w:rPr>
          <w:rFonts w:ascii="Times New Roman" w:hAnsi="Times New Roman"/>
          <w:color w:val="231F20"/>
          <w:sz w:val="24"/>
          <w:szCs w:val="24"/>
          <w:lang w:val="az-Latn-AZ"/>
        </w:rPr>
        <w:t>. Bu prinsip, həmçinin, alt sistemlərin alt sistemlərinə də tətbiq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təsnifatı xaricində qalır. Lakin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dəyərinə təsir edə bilər. Məsələn, nümunələrin dəyəri, adətən, müvafiq əqli mülkiyyət hüquqları ilə sıx şəkildə əlaqəli olur. Sistem proqram təminatı, texniki məlumatlar, istehsal qeydləri və nümunələr  qiymətləndirməyə daxil olub olmamasından asılı olaraq istehsalat vasitələri, maşın və avadanlıq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dəyərinə təsir edə bilən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z w:val="24"/>
          <w:szCs w:val="24"/>
          <w:lang w:val="az-Latn-AZ"/>
        </w:rPr>
        <w:t>aid edilir.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ind w:left="3113" w:right="3293"/>
        <w:jc w:val="center"/>
        <w:rPr>
          <w:rFonts w:ascii="Times New Roman" w:hAnsi="Times New Roman"/>
          <w:color w:val="000000"/>
          <w:sz w:val="24"/>
          <w:szCs w:val="24"/>
          <w:lang w:val="az-Latn-AZ"/>
        </w:rPr>
      </w:pPr>
      <w:r w:rsidRPr="009C2EF2">
        <w:rPr>
          <w:rFonts w:ascii="Times New Roman" w:hAnsi="Times New Roman"/>
          <w:color w:val="231F20"/>
          <w:spacing w:val="-12"/>
          <w:sz w:val="24"/>
          <w:szCs w:val="24"/>
          <w:lang w:val="az-Latn-AZ"/>
        </w:rPr>
        <w:t>74</w:t>
      </w:r>
    </w:p>
    <w:p w:rsidR="00D02DD9" w:rsidRPr="009C2EF2" w:rsidRDefault="00D02DD9">
      <w:pPr>
        <w:pStyle w:val="a3"/>
        <w:kinsoku w:val="0"/>
        <w:overflowPunct w:val="0"/>
        <w:ind w:left="3113" w:right="3293"/>
        <w:jc w:val="center"/>
        <w:rPr>
          <w:rFonts w:ascii="Times New Roman" w:hAnsi="Times New Roman"/>
          <w:color w:val="000000"/>
          <w:sz w:val="24"/>
          <w:szCs w:val="24"/>
          <w:lang w:val="az-Latn-AZ"/>
        </w:rPr>
        <w:sectPr w:rsidR="00D02DD9" w:rsidRPr="009C2EF2">
          <w:footerReference w:type="default" r:id="rId8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2480" behindDoc="1" locked="0" layoutInCell="0" allowOverlap="1">
                <wp:simplePos x="0" y="0"/>
                <wp:positionH relativeFrom="page">
                  <wp:posOffset>5183505</wp:posOffset>
                </wp:positionH>
                <wp:positionV relativeFrom="page">
                  <wp:posOffset>0</wp:posOffset>
                </wp:positionV>
                <wp:extent cx="431800" cy="8423910"/>
                <wp:effectExtent l="0" t="0" r="0" b="0"/>
                <wp:wrapNone/>
                <wp:docPr id="10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D89714" id="Freeform 167" o:spid="_x0000_s1026" style="position:absolute;margin-left:408.15pt;margin-top:0;width:34pt;height:663.3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Belə hallarda, qiymətləndirmə prosesində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daxil edilməsi və onların istehsalat vasitələri, maşın və avadanlıq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qiymətləndirilməsinə təsiri nəzərə alınacaq. Bir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komponenti olduqda </w:t>
      </w:r>
      <w:r w:rsidRPr="009C2EF2">
        <w:rPr>
          <w:rFonts w:ascii="Times New Roman" w:hAnsi="Times New Roman"/>
          <w:i/>
          <w:color w:val="231F20"/>
          <w:sz w:val="24"/>
          <w:szCs w:val="24"/>
          <w:lang w:val="az-Latn-AZ"/>
        </w:rPr>
        <w:t>qiymətləndirici</w:t>
      </w:r>
      <w:r w:rsidRPr="009C2EF2">
        <w:rPr>
          <w:rFonts w:ascii="Times New Roman" w:hAnsi="Times New Roman"/>
          <w:color w:val="231F20"/>
          <w:sz w:val="24"/>
          <w:szCs w:val="24"/>
          <w:lang w:val="az-Latn-AZ"/>
        </w:rPr>
        <w:t xml:space="preserve">, həmçinin, BQS 210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bölməsinə əməl etməlidir.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avadanlıqların qiymətləndirilməsi zamanı, adətən,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özü ilə bağlı bir sıra amillər, onun mühiti və fiziki, funksional və iqtisadi imkanları nəzərə alınır. Ona görə də, istehsalat vasitələri, maşın və avadanlıqlar üzrə qiymətləndiricilər</w:t>
      </w:r>
    </w:p>
    <w:p w:rsidR="00D02DD9" w:rsidRPr="009C2EF2" w:rsidRDefault="003C64E0" w:rsidP="0030639D">
      <w:pPr>
        <w:pStyle w:val="a3"/>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avadanlığın vəziyyətini və onlara təqdim olunmuş məlumatların faydalı və qiymətləndirilən aktivlər ilə əlaqəli olub olmamasını müəyyən etmək üçün həmin </w:t>
      </w:r>
      <w:r w:rsidRPr="009C2EF2">
        <w:rPr>
          <w:rFonts w:ascii="Times New Roman" w:hAnsi="Times New Roman"/>
          <w:i/>
          <w:color w:val="231F20"/>
          <w:sz w:val="24"/>
          <w:szCs w:val="24"/>
          <w:lang w:val="az-Latn-AZ"/>
        </w:rPr>
        <w:t>aktivləri yoxlamalıdırlar.</w:t>
      </w:r>
      <w:r w:rsidRPr="009C2EF2">
        <w:rPr>
          <w:rFonts w:ascii="Times New Roman" w:hAnsi="Times New Roman"/>
          <w:color w:val="231F20"/>
          <w:sz w:val="24"/>
          <w:szCs w:val="24"/>
          <w:lang w:val="az-Latn-AZ"/>
        </w:rPr>
        <w:t xml:space="preserve"> Bu başlıqların hər biri üzrə nəzərə alınması </w:t>
      </w:r>
      <w:r w:rsidRPr="009C2EF2">
        <w:rPr>
          <w:rFonts w:ascii="Times New Roman" w:hAnsi="Times New Roman"/>
          <w:i/>
          <w:color w:val="231F20"/>
          <w:spacing w:val="-1"/>
          <w:sz w:val="24"/>
          <w:szCs w:val="24"/>
          <w:lang w:val="az-Latn-AZ"/>
        </w:rPr>
        <w:t>tələb olunan</w:t>
      </w:r>
      <w:r w:rsidRPr="009C2EF2">
        <w:rPr>
          <w:rFonts w:ascii="Times New Roman" w:hAnsi="Times New Roman"/>
          <w:color w:val="231F20"/>
          <w:sz w:val="24"/>
          <w:szCs w:val="24"/>
          <w:lang w:val="az-Latn-AZ"/>
        </w:rPr>
        <w:t xml:space="preserve"> faktorların nümunələrinə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4"/>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Aktivlə</w:t>
      </w:r>
      <w:r w:rsidRPr="009C2EF2">
        <w:rPr>
          <w:rFonts w:ascii="Times New Roman" w:hAnsi="Times New Roman"/>
          <w:color w:val="231F20"/>
          <w:sz w:val="24"/>
          <w:szCs w:val="24"/>
          <w:lang w:val="az-Latn-AZ"/>
        </w:rPr>
        <w:t xml:space="preserve"> bağlı:</w:t>
      </w:r>
    </w:p>
    <w:p w:rsidR="00D02DD9" w:rsidRPr="009C2EF2" w:rsidRDefault="0075026C">
      <w:pPr>
        <w:pStyle w:val="a3"/>
        <w:numPr>
          <w:ilvl w:val="3"/>
          <w:numId w:val="44"/>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3696" behindDoc="0" locked="0" layoutInCell="0" allowOverlap="1">
                <wp:simplePos x="0" y="0"/>
                <wp:positionH relativeFrom="page">
                  <wp:posOffset>5276215</wp:posOffset>
                </wp:positionH>
                <wp:positionV relativeFrom="paragraph">
                  <wp:posOffset>109855</wp:posOffset>
                </wp:positionV>
                <wp:extent cx="152400" cy="2959100"/>
                <wp:effectExtent l="0" t="0" r="0" b="0"/>
                <wp:wrapNone/>
                <wp:docPr id="10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3" type="#_x0000_t202" style="position:absolute;left:0;text-align:left;margin-left:415.45pt;margin-top:8.65pt;width:12pt;height:23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lGrwIAALU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texniki spesifikasiyası,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1393"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ilkin və texniki xidmət nəzərə alınmaqla</w:t>
      </w:r>
      <w:r w:rsidR="00C11094"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qalan, faydalı və ya səmərəli istismar müdd</w:t>
      </w:r>
      <w:r w:rsidR="0030639D" w:rsidRPr="009C2EF2">
        <w:rPr>
          <w:rFonts w:ascii="Times New Roman" w:hAnsi="Times New Roman"/>
          <w:color w:val="231F20"/>
          <w:sz w:val="24"/>
          <w:szCs w:val="24"/>
          <w:lang w:val="az-Latn-AZ"/>
        </w:rPr>
        <w:t>ətli</w:t>
      </w:r>
      <w:r w:rsidRPr="009C2EF2">
        <w:rPr>
          <w:rFonts w:ascii="Times New Roman" w:hAnsi="Times New Roman"/>
          <w:color w:val="231F20"/>
          <w:sz w:val="24"/>
          <w:szCs w:val="24"/>
          <w:lang w:val="az-Latn-AZ"/>
        </w:rPr>
        <w:t xml:space="preserve">, </w:t>
      </w:r>
    </w:p>
    <w:p w:rsidR="00D02DD9" w:rsidRPr="009C2EF2" w:rsidRDefault="003C64E0">
      <w:pPr>
        <w:pStyle w:val="a3"/>
        <w:numPr>
          <w:ilvl w:val="3"/>
          <w:numId w:val="44"/>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texniki xidmət haqqında məlumatlar daxil olmaqla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vəziyyəti,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ind w:left="124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funksional, fiziki və texnoloji köhnəlmə,</w:t>
      </w:r>
    </w:p>
    <w:p w:rsidR="00D02DD9" w:rsidRPr="009C2EF2" w:rsidRDefault="003C64E0" w:rsidP="00537609">
      <w:pPr>
        <w:pStyle w:val="a3"/>
        <w:numPr>
          <w:ilvl w:val="3"/>
          <w:numId w:val="44"/>
        </w:numPr>
        <w:tabs>
          <w:tab w:val="left" w:pos="1248"/>
        </w:tabs>
        <w:kinsoku w:val="0"/>
        <w:overflowPunct w:val="0"/>
        <w:spacing w:line="250" w:lineRule="auto"/>
        <w:ind w:left="1247" w:right="1295" w:hanging="28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cari yerində qiymətləndirilmədikdə onun istismardan çıxarılması və kənarlaşdırılması ilə bağlı xərclər, həmçinin,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cari yeri, məsələn, istismara verilməsi və optimal vəziyyətə gətirmək üçün yenidən istismara verilməsi ilə bağlı xərclər,</w:t>
      </w:r>
      <w:r w:rsidR="0030639D" w:rsidRPr="009C2EF2">
        <w:rPr>
          <w:rFonts w:ascii="Times New Roman" w:hAnsi="Times New Roman"/>
          <w:color w:val="231F20"/>
          <w:sz w:val="24"/>
          <w:szCs w:val="24"/>
          <w:lang w:val="az-Latn-AZ"/>
        </w:rPr>
        <w:t xml:space="preserve">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optimal vəziyyətə gətirilməsi üçün yenidən istismara verilməsi,</w:t>
      </w:r>
    </w:p>
    <w:p w:rsidR="00D02DD9" w:rsidRPr="009C2EF2" w:rsidRDefault="003C64E0">
      <w:pPr>
        <w:pStyle w:val="a3"/>
        <w:numPr>
          <w:ilvl w:val="3"/>
          <w:numId w:val="44"/>
        </w:numPr>
        <w:tabs>
          <w:tab w:val="left" w:pos="1248"/>
        </w:tabs>
        <w:kinsoku w:val="0"/>
        <w:overflowPunct w:val="0"/>
        <w:spacing w:line="250" w:lineRule="auto"/>
        <w:ind w:left="1247" w:right="1186"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icarə </w:t>
      </w:r>
      <w:r w:rsidRPr="009C2EF2">
        <w:rPr>
          <w:rFonts w:ascii="Times New Roman" w:hAnsi="Times New Roman"/>
          <w:i/>
          <w:color w:val="231F20"/>
          <w:sz w:val="24"/>
          <w:szCs w:val="24"/>
          <w:lang w:val="az-Latn-AZ"/>
        </w:rPr>
        <w:t xml:space="preserve">məqsədi </w:t>
      </w:r>
      <w:r w:rsidRPr="009C2EF2">
        <w:rPr>
          <w:rFonts w:ascii="Times New Roman" w:hAnsi="Times New Roman"/>
          <w:color w:val="231F20"/>
          <w:sz w:val="24"/>
          <w:szCs w:val="24"/>
          <w:lang w:val="az-Latn-AZ"/>
        </w:rPr>
        <w:t>ilə bağlı istifadə olunan maşın və avadanlıq üzrə, icarə müddətinin uzadılması imkanları və icarə müddətinin başa çatması ilə bağlı digər imkanlar,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1091" w:hanging="28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tamamlayıcı </w:t>
      </w:r>
      <w:r w:rsidRPr="009C2EF2">
        <w:rPr>
          <w:rFonts w:ascii="Times New Roman" w:hAnsi="Times New Roman"/>
          <w:i/>
          <w:color w:val="231F20"/>
          <w:spacing w:val="-1"/>
          <w:sz w:val="24"/>
          <w:szCs w:val="24"/>
          <w:lang w:val="az-Latn-AZ"/>
        </w:rPr>
        <w:t xml:space="preserve">aktivlə </w:t>
      </w:r>
      <w:r w:rsidRPr="009C2EF2">
        <w:rPr>
          <w:rFonts w:ascii="Times New Roman" w:hAnsi="Times New Roman"/>
          <w:color w:val="231F20"/>
          <w:spacing w:val="-1"/>
          <w:sz w:val="24"/>
          <w:szCs w:val="24"/>
          <w:lang w:val="az-Latn-AZ"/>
        </w:rPr>
        <w:t xml:space="preserve">bağlı baş vermə ehtimalı olan zərər, məsələn, qurğunun istismar müddətinin yerləşdiyi tikili üzrə icarə müddətinə uyğun olaraq </w:t>
      </w:r>
      <w:r w:rsidRPr="009C2EF2">
        <w:rPr>
          <w:rFonts w:ascii="Times New Roman" w:hAnsi="Times New Roman"/>
          <w:i/>
          <w:color w:val="231F20"/>
          <w:spacing w:val="-1"/>
          <w:sz w:val="24"/>
          <w:szCs w:val="24"/>
          <w:lang w:val="az-Latn-AZ"/>
        </w:rPr>
        <w:t>qısaldılması</w:t>
      </w:r>
      <w:r w:rsidRPr="009C2EF2">
        <w:rPr>
          <w:rFonts w:ascii="Times New Roman" w:hAnsi="Times New Roman"/>
          <w:color w:val="231F20"/>
          <w:spacing w:val="-1"/>
          <w:sz w:val="24"/>
          <w:szCs w:val="24"/>
          <w:lang w:val="az-Latn-AZ"/>
        </w:rPr>
        <w:t>,</w:t>
      </w:r>
    </w:p>
    <w:p w:rsidR="00D02DD9" w:rsidRPr="009C2EF2" w:rsidRDefault="003C64E0">
      <w:pPr>
        <w:pStyle w:val="a3"/>
        <w:numPr>
          <w:ilvl w:val="3"/>
          <w:numId w:val="44"/>
        </w:numPr>
        <w:tabs>
          <w:tab w:val="left" w:pos="1248"/>
        </w:tabs>
        <w:kinsoku w:val="0"/>
        <w:overflowPunct w:val="0"/>
        <w:spacing w:line="250" w:lineRule="auto"/>
        <w:ind w:left="1247" w:right="1446"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əlavə avadanlıq, daşınma, quraşdırma, istismardan kənarlaşdırma və s. ilə bağlı əlavə xərclər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980"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zamanı zavod daxilində </w:t>
      </w:r>
      <w:r w:rsidRPr="009C2EF2">
        <w:rPr>
          <w:rFonts w:ascii="Times New Roman" w:hAnsi="Times New Roman"/>
          <w:i/>
          <w:color w:val="231F20"/>
          <w:sz w:val="24"/>
          <w:szCs w:val="24"/>
          <w:lang w:val="az-Latn-AZ"/>
        </w:rPr>
        <w:t xml:space="preserve">istifadə oluna </w:t>
      </w:r>
      <w:r w:rsidRPr="009C2EF2">
        <w:rPr>
          <w:rFonts w:ascii="Times New Roman" w:hAnsi="Times New Roman"/>
          <w:color w:val="231F20"/>
          <w:sz w:val="24"/>
          <w:szCs w:val="24"/>
          <w:lang w:val="az-Latn-AZ"/>
        </w:rPr>
        <w:t>bilən qurğu və avadanlıq ilə bağlı faktiki xərclər mövcud olmadıqda qiymətləndirici Layihələndirmə, Təchizat və Tikintiyə dair Müqaviləyə</w:t>
      </w:r>
      <w:r w:rsidRPr="009C2EF2">
        <w:rPr>
          <w:rFonts w:ascii="Times New Roman" w:hAnsi="Times New Roman"/>
          <w:i/>
          <w:color w:val="231F20"/>
          <w:spacing w:val="-1"/>
          <w:sz w:val="24"/>
          <w:szCs w:val="24"/>
          <w:lang w:val="az-Latn-AZ"/>
        </w:rPr>
        <w:t xml:space="preserve"> istinad edə 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4"/>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Mühitlə bağlı: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1134"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xammalın mənbəyi və məhsul üçün bazar ilə bağlı məkan. Xammal materialların məhdud və ya tələbin müvəqqəti olduğu məkanın əlverişliliyi, həmçinin, məhdud müddətə malik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1630"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istifadəni məhdudlaşdıran və ya əlavə əməliyyat və ya istismardan kənarlaşdırma xərcləri tətbiq edən mühitlə bağlı qanunların və ya digər qanunvericiliyin təsiri,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1248"/>
        </w:tabs>
        <w:kinsoku w:val="0"/>
        <w:overflowPunct w:val="0"/>
        <w:spacing w:line="250" w:lineRule="auto"/>
        <w:ind w:left="1247" w:right="1690"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 qurğu və avadanlıqlarda istifadədən kənarda qaldığı və ya müvafiq qaydada istifadə edilmədiyi təqdirdə kəskin mənfi təsiri </w:t>
      </w:r>
      <w:r w:rsidRPr="009C2EF2">
        <w:rPr>
          <w:rFonts w:ascii="Times New Roman" w:hAnsi="Times New Roman"/>
          <w:i/>
          <w:color w:val="231F20"/>
          <w:spacing w:val="-1"/>
          <w:sz w:val="24"/>
          <w:szCs w:val="24"/>
          <w:lang w:val="az-Latn-AZ"/>
        </w:rPr>
        <w:t>ola bilən</w:t>
      </w:r>
      <w:r w:rsidRPr="009C2EF2">
        <w:rPr>
          <w:rFonts w:ascii="Times New Roman" w:hAnsi="Times New Roman"/>
          <w:color w:val="231F20"/>
          <w:sz w:val="24"/>
          <w:szCs w:val="24"/>
          <w:lang w:val="az-Latn-AZ"/>
        </w:rPr>
        <w:t xml:space="preserve"> radioaktiv maddələr</w:t>
      </w: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ind w:left="2786" w:right="3637"/>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75</w:t>
      </w:r>
    </w:p>
    <w:p w:rsidR="00D02DD9" w:rsidRPr="009C2EF2" w:rsidRDefault="00D02DD9">
      <w:pPr>
        <w:pStyle w:val="a3"/>
        <w:kinsoku w:val="0"/>
        <w:overflowPunct w:val="0"/>
        <w:ind w:left="2786" w:right="3637"/>
        <w:jc w:val="center"/>
        <w:rPr>
          <w:rFonts w:ascii="Times New Roman" w:hAnsi="Times New Roman"/>
          <w:color w:val="000000"/>
          <w:sz w:val="24"/>
          <w:szCs w:val="24"/>
          <w:lang w:val="az-Latn-AZ"/>
        </w:rPr>
        <w:sectPr w:rsidR="00D02DD9" w:rsidRPr="009C2EF2">
          <w:footerReference w:type="default" r:id="rId8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3504" behindDoc="1" locked="0" layoutInCell="0" allowOverlap="1">
                <wp:simplePos x="0" y="0"/>
                <wp:positionH relativeFrom="page">
                  <wp:posOffset>0</wp:posOffset>
                </wp:positionH>
                <wp:positionV relativeFrom="page">
                  <wp:posOffset>0</wp:posOffset>
                </wp:positionV>
                <wp:extent cx="432435" cy="8424545"/>
                <wp:effectExtent l="0" t="0" r="0" b="0"/>
                <wp:wrapNone/>
                <wp:docPr id="10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A792B0" id="Freeform 169" o:spid="_x0000_s1026" style="position:absolute;margin-left:0;margin-top:0;width:34.05pt;height:663.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MgzmD9iAwAAhg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rsidP="0030639D">
      <w:pPr>
        <w:pStyle w:val="a3"/>
        <w:kinsoku w:val="0"/>
        <w:overflowPunct w:val="0"/>
        <w:spacing w:before="77" w:line="250" w:lineRule="auto"/>
        <w:ind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Bu, xərclərin nəzərə alınmasına və mühitə böyük təsir göstərəcək.</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2098"/>
        </w:tabs>
        <w:kinsoku w:val="0"/>
        <w:overflowPunct w:val="0"/>
        <w:spacing w:line="250" w:lineRule="auto"/>
        <w:ind w:left="2097" w:right="1381" w:hanging="28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bərk, maye və ya qaz halında </w:t>
      </w:r>
      <w:r w:rsidRPr="009C2EF2">
        <w:rPr>
          <w:rFonts w:ascii="Times New Roman" w:hAnsi="Times New Roman"/>
          <w:i/>
          <w:color w:val="231F20"/>
          <w:spacing w:val="-1"/>
          <w:sz w:val="24"/>
          <w:szCs w:val="24"/>
          <w:lang w:val="az-Latn-AZ"/>
        </w:rPr>
        <w:t>mövcud olan</w:t>
      </w:r>
      <w:r w:rsidRPr="009C2EF2">
        <w:rPr>
          <w:rFonts w:ascii="Times New Roman" w:hAnsi="Times New Roman"/>
          <w:color w:val="231F20"/>
          <w:sz w:val="24"/>
          <w:szCs w:val="24"/>
          <w:lang w:val="az-Latn-AZ"/>
        </w:rPr>
        <w:t xml:space="preserve"> zəhərli tullantılar peşəkar şəkildə saxlanılmalı və ya </w:t>
      </w:r>
      <w:r w:rsidRPr="009C2EF2">
        <w:rPr>
          <w:rFonts w:ascii="Times New Roman" w:hAnsi="Times New Roman"/>
          <w:i/>
          <w:color w:val="231F20"/>
          <w:sz w:val="24"/>
          <w:szCs w:val="24"/>
          <w:lang w:val="az-Latn-AZ"/>
        </w:rPr>
        <w:t>kənarlaşdırılmalıdır</w:t>
      </w:r>
      <w:r w:rsidRPr="009C2EF2">
        <w:rPr>
          <w:rFonts w:ascii="Times New Roman" w:hAnsi="Times New Roman"/>
          <w:color w:val="231F20"/>
          <w:sz w:val="24"/>
          <w:szCs w:val="24"/>
          <w:lang w:val="az-Latn-AZ"/>
        </w:rPr>
        <w:t>. Bu məsələ bütün sənaye istehsalı üçün zəruri əhəmiyyət kəsb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3"/>
          <w:numId w:val="44"/>
        </w:numPr>
        <w:tabs>
          <w:tab w:val="left" w:pos="2098"/>
        </w:tabs>
        <w:kinsoku w:val="0"/>
        <w:overflowPunct w:val="0"/>
        <w:spacing w:before="9"/>
        <w:ind w:left="2097" w:hanging="28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bəzi ölkələrdə müəyyən qurğuları istifadə etmək üçün verilən icazələr </w:t>
      </w:r>
      <w:r w:rsidRPr="009C2EF2">
        <w:rPr>
          <w:rFonts w:ascii="Times New Roman" w:hAnsi="Times New Roman"/>
          <w:i/>
          <w:color w:val="231F20"/>
          <w:spacing w:val="-2"/>
          <w:sz w:val="24"/>
          <w:szCs w:val="24"/>
          <w:lang w:val="az-Latn-AZ"/>
        </w:rPr>
        <w:t>məhdudlaşdırıla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4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İqtisadi: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3"/>
          <w:numId w:val="44"/>
        </w:numPr>
        <w:tabs>
          <w:tab w:val="left" w:pos="2098"/>
        </w:tabs>
        <w:kinsoku w:val="0"/>
        <w:overflowPunct w:val="0"/>
        <w:spacing w:line="250" w:lineRule="auto"/>
        <w:ind w:left="2097" w:right="1326" w:hanging="28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gəlirlər və ya potensial gəlirlər ilə əməliyyat xərclərinin müqayisəsinə əsaslanmaqla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faktiki və ya potensialgəlirliliyi (bax: BQS 200 Müəssisə və müəssisənin iştirak payı),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3"/>
          <w:numId w:val="44"/>
        </w:numPr>
        <w:tabs>
          <w:tab w:val="left" w:pos="2098"/>
        </w:tabs>
        <w:kinsoku w:val="0"/>
        <w:overflowPunct w:val="0"/>
        <w:spacing w:line="250" w:lineRule="auto"/>
        <w:ind w:left="2097" w:right="1170" w:hanging="283"/>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4720" behindDoc="0" locked="0" layoutInCell="0" allowOverlap="1">
                <wp:simplePos x="0" y="0"/>
                <wp:positionH relativeFrom="page">
                  <wp:posOffset>151130</wp:posOffset>
                </wp:positionH>
                <wp:positionV relativeFrom="paragraph">
                  <wp:posOffset>167640</wp:posOffset>
                </wp:positionV>
                <wp:extent cx="152400" cy="2959100"/>
                <wp:effectExtent l="0" t="0" r="0" b="0"/>
                <wp:wrapNone/>
                <wp:docPr id="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4" type="#_x0000_t202" style="position:absolute;left:0;text-align:left;margin-left:11.9pt;margin-top:13.2pt;width:12pt;height:23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makro- və mikro- iqtisadi amillər ilə bağlı zavodun istehsal etdiyi məhsula olan tələb tələbə təsir edə bilər və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3"/>
          <w:numId w:val="44"/>
        </w:numPr>
        <w:tabs>
          <w:tab w:val="left" w:pos="2098"/>
        </w:tabs>
        <w:kinsoku w:val="0"/>
        <w:overflowPunct w:val="0"/>
        <w:spacing w:line="250" w:lineRule="auto"/>
        <w:ind w:left="2097" w:right="1362" w:hanging="283"/>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cari istifadə ilə müqayisədə daha faydalı (yəni, (məsələn, ən yaxşı və ən səmərəli istifadə) istifadəyə verilməsi ilə bağlı imkan.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1531"/>
        </w:tabs>
        <w:kinsoku w:val="0"/>
        <w:overflowPunct w:val="0"/>
        <w:spacing w:line="250" w:lineRule="auto"/>
        <w:ind w:right="140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Qurğu və avadanlıqla üzrə qiymətləndirmələr dəyər üzrə köhnəlmənin bütün formalarının təsirini </w:t>
      </w:r>
      <w:r w:rsidRPr="009C2EF2">
        <w:rPr>
          <w:rFonts w:ascii="Times New Roman" w:hAnsi="Times New Roman"/>
          <w:i/>
          <w:color w:val="231F20"/>
          <w:spacing w:val="1"/>
          <w:sz w:val="24"/>
          <w:szCs w:val="24"/>
          <w:lang w:val="az-Latn-AZ"/>
        </w:rPr>
        <w:t>əks etdirməlidir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pacing w:val="-8"/>
          <w:sz w:val="24"/>
          <w:szCs w:val="24"/>
          <w:lang w:val="az-Latn-AZ"/>
        </w:rPr>
        <w:t xml:space="preserve"> bölməsi, paraqraf 20.3 (d) -də qiymətləndirilməli olan </w:t>
      </w:r>
      <w:r w:rsidRPr="009C2EF2">
        <w:rPr>
          <w:rFonts w:ascii="Times New Roman" w:hAnsi="Times New Roman"/>
          <w:i/>
          <w:color w:val="231F20"/>
          <w:sz w:val="24"/>
          <w:szCs w:val="24"/>
          <w:lang w:val="az-Latn-AZ"/>
        </w:rPr>
        <w:t>aktiv</w:t>
      </w:r>
      <w:r w:rsidRPr="009C2EF2">
        <w:rPr>
          <w:rFonts w:ascii="Times New Roman" w:hAnsi="Times New Roman"/>
          <w:color w:val="231F20"/>
          <w:spacing w:val="-8"/>
          <w:sz w:val="24"/>
          <w:szCs w:val="24"/>
          <w:lang w:val="az-Latn-AZ"/>
        </w:rPr>
        <w:t xml:space="preserve"> və ya passivi müəyyən etmək tələbinə həmin tələbin dəyərə təsirinə uyğun olaraq əməl etmək üçün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8"/>
          <w:sz w:val="24"/>
          <w:szCs w:val="24"/>
          <w:lang w:val="az-Latn-AZ"/>
        </w:rPr>
        <w:t xml:space="preserve">digər </w:t>
      </w:r>
      <w:r w:rsidRPr="009C2EF2">
        <w:rPr>
          <w:rFonts w:ascii="Times New Roman" w:hAnsi="Times New Roman"/>
          <w:i/>
          <w:color w:val="231F20"/>
          <w:spacing w:val="-1"/>
          <w:sz w:val="24"/>
          <w:szCs w:val="24"/>
          <w:lang w:val="az-Latn-AZ"/>
        </w:rPr>
        <w:t>aktivlərlə</w:t>
      </w:r>
      <w:r w:rsidRPr="009C2EF2">
        <w:rPr>
          <w:rFonts w:ascii="Times New Roman" w:hAnsi="Times New Roman"/>
          <w:color w:val="231F20"/>
          <w:spacing w:val="-8"/>
          <w:sz w:val="24"/>
          <w:szCs w:val="24"/>
          <w:lang w:val="az-Latn-AZ"/>
        </w:rPr>
        <w:t xml:space="preserve"> birləşmə dərəcəsi </w:t>
      </w:r>
      <w:r w:rsidRPr="009C2EF2">
        <w:rPr>
          <w:rFonts w:ascii="Times New Roman" w:hAnsi="Times New Roman"/>
          <w:i/>
          <w:color w:val="231F20"/>
          <w:sz w:val="24"/>
          <w:szCs w:val="24"/>
          <w:lang w:val="az-Latn-AZ"/>
        </w:rPr>
        <w:t>nəzərə alınmalıdır</w:t>
      </w:r>
      <w:r w:rsidRPr="009C2EF2">
        <w:rPr>
          <w:rFonts w:ascii="Times New Roman" w:hAnsi="Times New Roman"/>
          <w:color w:val="231F20"/>
          <w:spacing w:val="-8"/>
          <w:sz w:val="24"/>
          <w:szCs w:val="24"/>
          <w:lang w:val="az-Latn-AZ"/>
        </w:rPr>
        <w:t>. Məsələn: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aktivlər daimi olaraq torpağa </w:t>
      </w:r>
      <w:r w:rsidRPr="009C2EF2">
        <w:rPr>
          <w:rFonts w:ascii="Times New Roman" w:hAnsi="Times New Roman"/>
          <w:i/>
          <w:color w:val="231F20"/>
          <w:sz w:val="24"/>
          <w:szCs w:val="24"/>
          <w:lang w:val="az-Latn-AZ"/>
        </w:rPr>
        <w:t>birləşdirilə bilər,</w:t>
      </w:r>
      <w:r w:rsidRPr="009C2EF2">
        <w:rPr>
          <w:rFonts w:ascii="Times New Roman" w:hAnsi="Times New Roman"/>
          <w:color w:val="231F20"/>
          <w:sz w:val="24"/>
          <w:szCs w:val="24"/>
          <w:lang w:val="az-Latn-AZ"/>
        </w:rPr>
        <w:t xml:space="preserve"> bu zaman o, </w:t>
      </w:r>
    </w:p>
    <w:p w:rsidR="00D02DD9" w:rsidRPr="009C2EF2" w:rsidRDefault="003C64E0">
      <w:pPr>
        <w:pStyle w:val="a3"/>
        <w:kinsoku w:val="0"/>
        <w:overflowPunct w:val="0"/>
        <w:spacing w:before="9" w:line="250" w:lineRule="auto"/>
        <w:ind w:left="1814" w:right="128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və ya onu əhatə edən struktur və ya tikilinin əsaslı olaraq sökülməsi halları istisna olmaqla kənarlaşdırıla bilməz.</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4"/>
        </w:numPr>
        <w:tabs>
          <w:tab w:val="left" w:pos="1815"/>
        </w:tabs>
        <w:kinsoku w:val="0"/>
        <w:overflowPunct w:val="0"/>
        <w:spacing w:line="250" w:lineRule="auto"/>
        <w:ind w:left="1814" w:right="118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ayrıca bir qurğu inteqrasiya olunmuş istehsal sahəsinin bir hissəsi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z w:val="24"/>
          <w:szCs w:val="24"/>
          <w:lang w:val="az-Latn-AZ"/>
        </w:rPr>
        <w:t xml:space="preserve">, bu halda həmin qurğu digər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color w:val="231F20"/>
          <w:sz w:val="24"/>
          <w:szCs w:val="24"/>
          <w:lang w:val="az-Latn-AZ"/>
        </w:rPr>
        <w:t>asılı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44"/>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 bir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daşınmaz əmlakın bir komponenti kimi təsnif olunmaq üçün nəzərə alına bilər (məsələn, isitmə, havalandırma və kondisioner sistemi).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line="250" w:lineRule="auto"/>
        <w:ind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Belə hallarda bu, qiymətləndirməyə hansı amillərin daxil edilib edilməməsini aydın şəkildə müəyyənləşdirmək baxımından zəruri hesab olunacaq. Hər hansı tamamlayıcı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mövcudluğu ilə bağlı xüsusi mülahizələr də, həmçinin, qeyd olunmalıdır (bax: 20.8-ci bənd).</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4"/>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Bina üçün xidmətlərin göstərilməsi ilə bağlı qurğu və avadanlıqlar, adətən, binanın daxilində birləşmiş vəziyyətdə quraşdırılır və quraşdırıldıqdan sonra bir-birindən ayrılmır. Onlar, daşınmaz əmlak ilə bağlı maraqların bir hissəsini formalaşdırır. Binada elektrik, qaz, isitmə, soyutma və ya havalandırma sistemlərinin quraşdırılması </w:t>
      </w:r>
      <w:r w:rsidR="0030639D" w:rsidRPr="009C2EF2">
        <w:rPr>
          <w:rFonts w:ascii="Times New Roman" w:hAnsi="Times New Roman"/>
          <w:color w:val="231F20"/>
          <w:spacing w:val="-1"/>
          <w:sz w:val="24"/>
          <w:szCs w:val="24"/>
          <w:lang w:val="az-Latn-AZ"/>
        </w:rPr>
        <w:t>funksiyası</w:t>
      </w:r>
      <w:r w:rsidRPr="009C2EF2">
        <w:rPr>
          <w:rFonts w:ascii="Times New Roman" w:hAnsi="Times New Roman"/>
          <w:color w:val="231F20"/>
          <w:spacing w:val="-1"/>
          <w:sz w:val="24"/>
          <w:szCs w:val="24"/>
          <w:lang w:val="az-Latn-AZ"/>
        </w:rPr>
        <w:t xml:space="preserve"> daşıyan qurğu və avadanlıqları, məsələn, qaldırıcıları buna misal göstərmək olar.  </w:t>
      </w:r>
      <w:r w:rsidRPr="009C2EF2">
        <w:rPr>
          <w:rFonts w:ascii="Times New Roman" w:hAnsi="Times New Roman"/>
          <w:i/>
          <w:color w:val="231F20"/>
          <w:spacing w:val="1"/>
          <w:sz w:val="24"/>
          <w:szCs w:val="24"/>
          <w:lang w:val="az-Latn-AZ"/>
        </w:rPr>
        <w:t xml:space="preserve">Qiymətləndirmənin məqsədinə </w:t>
      </w:r>
      <w:r w:rsidRPr="009C2EF2">
        <w:rPr>
          <w:rFonts w:ascii="Times New Roman" w:hAnsi="Times New Roman"/>
          <w:color w:val="231F20"/>
          <w:spacing w:val="-1"/>
          <w:sz w:val="24"/>
          <w:szCs w:val="24"/>
          <w:lang w:val="az-Latn-AZ"/>
        </w:rPr>
        <w:t xml:space="preserve">uyğun olaraq bu vasitələrin ayrıca qiymətləndirilməsi tələb olunduqda işin əhatə dairəsinə bu vasitələrin dəyərinin daşınmaz əmlak üzrə marağa daxil edilməsini və ayrıca </w:t>
      </w:r>
      <w:r w:rsidRPr="009C2EF2">
        <w:rPr>
          <w:rFonts w:ascii="Times New Roman" w:hAnsi="Times New Roman"/>
          <w:i/>
          <w:color w:val="231F20"/>
          <w:spacing w:val="-1"/>
          <w:sz w:val="24"/>
          <w:szCs w:val="24"/>
          <w:lang w:val="az-Latn-AZ"/>
        </w:rPr>
        <w:t xml:space="preserve">göstərilməməsini </w:t>
      </w:r>
      <w:r w:rsidRPr="009C2EF2">
        <w:rPr>
          <w:rFonts w:ascii="Times New Roman" w:hAnsi="Times New Roman"/>
          <w:color w:val="231F20"/>
          <w:spacing w:val="-1"/>
          <w:sz w:val="24"/>
          <w:szCs w:val="24"/>
          <w:lang w:val="az-Latn-AZ"/>
        </w:rPr>
        <w:t xml:space="preserve">əks etdirən məlumat </w:t>
      </w:r>
      <w:r w:rsidRPr="009C2EF2">
        <w:rPr>
          <w:rFonts w:ascii="Times New Roman" w:hAnsi="Times New Roman"/>
          <w:i/>
          <w:color w:val="231F20"/>
          <w:sz w:val="24"/>
          <w:szCs w:val="24"/>
          <w:lang w:val="az-Latn-AZ"/>
        </w:rPr>
        <w:t>daxil edilməlidir</w:t>
      </w:r>
      <w:r w:rsidRPr="009C2EF2">
        <w:rPr>
          <w:rFonts w:ascii="Times New Roman" w:hAnsi="Times New Roman"/>
          <w:color w:val="231F20"/>
          <w:spacing w:val="-1"/>
          <w:sz w:val="24"/>
          <w:szCs w:val="24"/>
          <w:lang w:val="az-Latn-AZ"/>
        </w:rPr>
        <w:t xml:space="preserve">. Daşınmaz əmlak üzrə marağı və eyni ərazidə yerləşən qurğu və avadanlıq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ind w:left="4183" w:right="4353"/>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76</w:t>
      </w:r>
    </w:p>
    <w:p w:rsidR="00D02DD9" w:rsidRPr="009C2EF2" w:rsidRDefault="00D02DD9">
      <w:pPr>
        <w:pStyle w:val="a3"/>
        <w:kinsoku w:val="0"/>
        <w:overflowPunct w:val="0"/>
        <w:ind w:left="4183" w:right="4353"/>
        <w:jc w:val="center"/>
        <w:rPr>
          <w:rFonts w:ascii="Times New Roman" w:hAnsi="Times New Roman"/>
          <w:color w:val="000000"/>
          <w:sz w:val="24"/>
          <w:szCs w:val="24"/>
          <w:lang w:val="az-Latn-AZ"/>
        </w:rPr>
        <w:sectPr w:rsidR="00D02DD9" w:rsidRPr="009C2EF2">
          <w:footerReference w:type="default" r:id="rId8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4528" behindDoc="1" locked="0" layoutInCell="0" allowOverlap="1">
                <wp:simplePos x="0" y="0"/>
                <wp:positionH relativeFrom="page">
                  <wp:posOffset>5183505</wp:posOffset>
                </wp:positionH>
                <wp:positionV relativeFrom="page">
                  <wp:posOffset>0</wp:posOffset>
                </wp:positionV>
                <wp:extent cx="431800" cy="8423910"/>
                <wp:effectExtent l="0" t="0" r="0" b="0"/>
                <wp:wrapNone/>
                <wp:docPr id="9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6A992F" id="Freeform 171" o:spid="_x0000_s1026" style="position:absolute;margin-left:408.15pt;margin-top:0;width:34pt;height:663.3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HXdeC3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30639D">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30639D">
      <w:pPr>
        <w:pStyle w:val="a3"/>
        <w:kinsoku w:val="0"/>
        <w:overflowPunct w:val="0"/>
        <w:spacing w:before="77" w:line="250" w:lineRule="auto"/>
        <w:ind w:left="0" w:right="1060"/>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aktivlərini </w:t>
      </w:r>
      <w:r w:rsidRPr="009C2EF2">
        <w:rPr>
          <w:rFonts w:ascii="Times New Roman" w:hAnsi="Times New Roman"/>
          <w:color w:val="231F20"/>
          <w:spacing w:val="2"/>
          <w:sz w:val="24"/>
          <w:szCs w:val="24"/>
          <w:lang w:val="az-Latn-AZ"/>
        </w:rPr>
        <w:t>qiymətləndirmək üçün müxtəlif qiymətləndirmələr aparıldıqda hər hansı məlumatın buraxılmaması və ya təkrar hesablanmaması üçün diqqətli olmaq lazımdır.</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a3"/>
        <w:numPr>
          <w:ilvl w:val="1"/>
          <w:numId w:val="44"/>
        </w:numPr>
        <w:tabs>
          <w:tab w:val="left" w:pos="681"/>
        </w:tabs>
        <w:kinsoku w:val="0"/>
        <w:overflowPunct w:val="0"/>
        <w:spacing w:line="250" w:lineRule="auto"/>
        <w:ind w:left="0" w:right="1007"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Bir sıra istehsalat vasitələri, maşın və avadanlıq hissələrinin fərqli xüsusiyyətləri və daşına bilməsi səbəbilə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qiymətləndirildiyi vəziyyət və şərtləri təsvir etmək üçün əlavə mülahizələrə ehtiyac duyulacaq.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pacing w:val="1"/>
          <w:sz w:val="24"/>
          <w:szCs w:val="24"/>
          <w:lang w:val="az-Latn-AZ"/>
        </w:rPr>
        <w:t xml:space="preserve"> adlı bölmənin 20.3-cü (k) bəndinin şərtlərinə əməl etmək üçün bunlar </w:t>
      </w:r>
      <w:r w:rsidRPr="009C2EF2">
        <w:rPr>
          <w:rFonts w:ascii="Times New Roman" w:hAnsi="Times New Roman"/>
          <w:i/>
          <w:color w:val="231F20"/>
          <w:sz w:val="24"/>
          <w:szCs w:val="24"/>
          <w:lang w:val="az-Latn-AZ"/>
        </w:rPr>
        <w:t>nəzərə alınmalı</w:t>
      </w:r>
      <w:r w:rsidRPr="009C2EF2">
        <w:rPr>
          <w:rFonts w:ascii="Times New Roman" w:hAnsi="Times New Roman"/>
          <w:color w:val="231F20"/>
          <w:spacing w:val="1"/>
          <w:sz w:val="24"/>
          <w:szCs w:val="24"/>
          <w:lang w:val="az-Latn-AZ"/>
        </w:rPr>
        <w:t xml:space="preserve"> və işin əhatə dairəsinə daxil edilməlidir. Müxtəlif vəziyyətlərə uyğun ola bilən mülahizələrə aşağıdakıları </w:t>
      </w:r>
      <w:r w:rsidRPr="009C2EF2">
        <w:rPr>
          <w:rFonts w:ascii="Times New Roman" w:hAnsi="Times New Roman"/>
          <w:i/>
          <w:color w:val="231F20"/>
          <w:spacing w:val="-1"/>
          <w:sz w:val="24"/>
          <w:szCs w:val="24"/>
          <w:lang w:val="az-Latn-AZ"/>
        </w:rPr>
        <w:t>misal gətirmək olar</w:t>
      </w:r>
      <w:r w:rsidRPr="009C2EF2">
        <w:rPr>
          <w:rFonts w:ascii="Times New Roman" w:hAnsi="Times New Roman"/>
          <w:color w:val="231F20"/>
          <w:spacing w:val="1"/>
          <w:sz w:val="24"/>
          <w:szCs w:val="24"/>
          <w:lang w:val="az-Latn-AZ"/>
        </w:rPr>
        <w:t>:</w:t>
      </w:r>
    </w:p>
    <w:p w:rsidR="00D02DD9" w:rsidRPr="009C2EF2" w:rsidRDefault="003C64E0" w:rsidP="0030639D">
      <w:pPr>
        <w:pStyle w:val="a3"/>
        <w:numPr>
          <w:ilvl w:val="2"/>
          <w:numId w:val="44"/>
        </w:numPr>
        <w:tabs>
          <w:tab w:val="left" w:pos="270"/>
        </w:tabs>
        <w:kinsoku w:val="0"/>
        <w:overflowPunct w:val="0"/>
        <w:spacing w:line="250" w:lineRule="auto"/>
        <w:ind w:left="0" w:right="1090"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mövcud olduğu yerdə bütövlükdə və əməliyyat fəaliyyətinin bir hissəsi kimi qiymətləndirilməsi,</w:t>
      </w:r>
    </w:p>
    <w:p w:rsidR="00D02DD9" w:rsidRPr="009C2EF2" w:rsidRDefault="003C64E0" w:rsidP="0030639D">
      <w:pPr>
        <w:pStyle w:val="a3"/>
        <w:numPr>
          <w:ilvl w:val="2"/>
          <w:numId w:val="44"/>
        </w:numPr>
        <w:tabs>
          <w:tab w:val="left" w:pos="270"/>
        </w:tabs>
        <w:kinsoku w:val="0"/>
        <w:overflowPunct w:val="0"/>
        <w:spacing w:line="250" w:lineRule="auto"/>
        <w:ind w:left="0" w:right="1150"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yerləşdikləri ərazidə bütünlükdə, lakin hələ sənaye istismarına başlanılmadan qiymətləndirilməsi,</w:t>
      </w:r>
    </w:p>
    <w:p w:rsidR="00D02DD9" w:rsidRPr="009C2EF2" w:rsidRDefault="0075026C" w:rsidP="0030639D">
      <w:pPr>
        <w:pStyle w:val="a3"/>
        <w:numPr>
          <w:ilvl w:val="2"/>
          <w:numId w:val="44"/>
        </w:numPr>
        <w:tabs>
          <w:tab w:val="left" w:pos="270"/>
        </w:tabs>
        <w:kinsoku w:val="0"/>
        <w:overflowPunct w:val="0"/>
        <w:spacing w:line="250" w:lineRule="auto"/>
        <w:ind w:left="0" w:right="1150" w:firstLine="0"/>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5744" behindDoc="0" locked="0" layoutInCell="0" allowOverlap="1">
                <wp:simplePos x="0" y="0"/>
                <wp:positionH relativeFrom="page">
                  <wp:posOffset>5276215</wp:posOffset>
                </wp:positionH>
                <wp:positionV relativeFrom="paragraph">
                  <wp:posOffset>139065</wp:posOffset>
                </wp:positionV>
                <wp:extent cx="152400" cy="2959100"/>
                <wp:effectExtent l="0" t="0" r="0" b="0"/>
                <wp:wrapNone/>
                <wp:docPr id="9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5" type="#_x0000_t202" style="position:absolute;left:0;text-align:left;margin-left:415.45pt;margin-top:10.95pt;width:12pt;height:233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vFrwIAALQ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color w:val="231F20"/>
          <w:sz w:val="24"/>
          <w:szCs w:val="24"/>
          <w:lang w:val="az-Latn-AZ"/>
        </w:rPr>
        <w:t xml:space="preserve">istehsalat vasitələri, maşın və avadanlıq </w:t>
      </w:r>
      <w:r w:rsidR="003C64E0" w:rsidRPr="009C2EF2">
        <w:rPr>
          <w:rFonts w:ascii="Times New Roman" w:hAnsi="Times New Roman"/>
          <w:i/>
          <w:color w:val="231F20"/>
          <w:sz w:val="24"/>
          <w:szCs w:val="24"/>
          <w:lang w:val="az-Latn-AZ"/>
        </w:rPr>
        <w:t xml:space="preserve">aktivlərinin </w:t>
      </w:r>
      <w:r w:rsidR="003C64E0" w:rsidRPr="009C2EF2">
        <w:rPr>
          <w:rFonts w:ascii="Times New Roman" w:hAnsi="Times New Roman"/>
          <w:color w:val="231F20"/>
          <w:sz w:val="24"/>
          <w:szCs w:val="24"/>
          <w:lang w:val="az-Latn-AZ"/>
        </w:rPr>
        <w:t>yerləşdikləri ərazidə bütövlükdə, lakin müəssisənin fəaliyyəti başa çatmazdan öncə qiymətləndirilməsi,</w:t>
      </w:r>
    </w:p>
    <w:p w:rsidR="00D02DD9" w:rsidRPr="009C2EF2" w:rsidRDefault="003C64E0" w:rsidP="0030639D">
      <w:pPr>
        <w:pStyle w:val="a3"/>
        <w:numPr>
          <w:ilvl w:val="2"/>
          <w:numId w:val="44"/>
        </w:numPr>
        <w:tabs>
          <w:tab w:val="left" w:pos="270"/>
        </w:tabs>
        <w:kinsoku w:val="0"/>
        <w:overflowPunct w:val="0"/>
        <w:spacing w:line="250" w:lineRule="auto"/>
        <w:ind w:left="0" w:right="1134"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yerləşdikləri ərazidə bütövlükdə, lakin məcburi satış zamanı qiymətləndirilməsi (bax: BQS 104 Baza Dəyərləri),</w:t>
      </w:r>
    </w:p>
    <w:p w:rsidR="00D02DD9" w:rsidRPr="009C2EF2" w:rsidRDefault="003C64E0" w:rsidP="0030639D">
      <w:pPr>
        <w:pStyle w:val="a3"/>
        <w:numPr>
          <w:ilvl w:val="2"/>
          <w:numId w:val="44"/>
        </w:numPr>
        <w:tabs>
          <w:tab w:val="left" w:pos="270"/>
        </w:tabs>
        <w:kinsoku w:val="0"/>
        <w:overflowPunct w:val="0"/>
        <w:spacing w:line="250" w:lineRule="auto"/>
        <w:ind w:left="0" w:right="1295"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onların cari yerlərindən kənarlaşdırılmaları üçün  ayrı-ayrı elementlər kimi qiymətləndirilməsi.</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a3"/>
        <w:numPr>
          <w:ilvl w:val="1"/>
          <w:numId w:val="44"/>
        </w:numPr>
        <w:tabs>
          <w:tab w:val="left" w:pos="681"/>
        </w:tabs>
        <w:kinsoku w:val="0"/>
        <w:overflowPunct w:val="0"/>
        <w:spacing w:line="250" w:lineRule="auto"/>
        <w:ind w:left="0" w:right="1088"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vəziyyətlərdə işgüzar fəaliyyətin başa çatmasının və ya əməliyyatların dayandırılmasının istehsalat vasitələri, maşın və avadanlıqların dəyəri üzərindəki təsirini əks etdirmək üçün bir neçə mülahizə üzrə hesab vermək daha </w:t>
      </w:r>
      <w:r w:rsidRPr="009C2EF2">
        <w:rPr>
          <w:rFonts w:ascii="Times New Roman" w:hAnsi="Times New Roman"/>
          <w:i/>
          <w:color w:val="231F20"/>
          <w:spacing w:val="-1"/>
          <w:sz w:val="24"/>
          <w:szCs w:val="24"/>
          <w:lang w:val="az-Latn-AZ"/>
        </w:rPr>
        <w:t>məqsədəuyğun hesab edilir</w:t>
      </w:r>
      <w:r w:rsidRPr="009C2EF2">
        <w:rPr>
          <w:rFonts w:ascii="Times New Roman" w:hAnsi="Times New Roman"/>
          <w:color w:val="231F20"/>
          <w:sz w:val="24"/>
          <w:szCs w:val="24"/>
          <w:lang w:val="az-Latn-AZ"/>
        </w:rPr>
        <w:t>.</w:t>
      </w:r>
    </w:p>
    <w:p w:rsidR="00D02DD9" w:rsidRPr="009C2EF2" w:rsidRDefault="003C64E0" w:rsidP="0030639D">
      <w:pPr>
        <w:pStyle w:val="a3"/>
        <w:numPr>
          <w:ilvl w:val="1"/>
          <w:numId w:val="44"/>
        </w:numPr>
        <w:tabs>
          <w:tab w:val="left" w:pos="681"/>
        </w:tabs>
        <w:kinsoku w:val="0"/>
        <w:overflowPunct w:val="0"/>
        <w:spacing w:line="250" w:lineRule="auto"/>
        <w:ind w:left="0" w:right="1057"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avadanlıqların qiymətləndirilməsi ilə bağlı hesabat BQS 103 Hesabat bölməsində nəzərdə tutulan minimum tələblərlə yanaşı işin əhatə dairəsində qeyd olunan məsələlərə müvafiq istinadları </w:t>
      </w:r>
      <w:r w:rsidRPr="009C2EF2">
        <w:rPr>
          <w:rFonts w:ascii="Times New Roman" w:hAnsi="Times New Roman"/>
          <w:i/>
          <w:color w:val="231F20"/>
          <w:sz w:val="24"/>
          <w:szCs w:val="24"/>
          <w:lang w:val="az-Latn-AZ"/>
        </w:rPr>
        <w:t>əks etdirməlidir.</w:t>
      </w:r>
      <w:r w:rsidRPr="009C2EF2">
        <w:rPr>
          <w:rFonts w:ascii="Times New Roman" w:hAnsi="Times New Roman"/>
          <w:color w:val="231F20"/>
          <w:sz w:val="24"/>
          <w:szCs w:val="24"/>
          <w:lang w:val="az-Latn-AZ"/>
        </w:rPr>
        <w:t xml:space="preserve"> Hesabata, həmçinin, faktiki və ya nəzərdə tutulan əməliyyat planı, məsələn, hər hansı bir qurğu üçün əməliyyat proqram təminatı və ya aktivin yerləşdiyi torpağı ə</w:t>
      </w:r>
      <w:r w:rsidR="0030639D" w:rsidRPr="009C2EF2">
        <w:rPr>
          <w:rFonts w:ascii="Times New Roman" w:hAnsi="Times New Roman"/>
          <w:color w:val="231F20"/>
          <w:sz w:val="24"/>
          <w:szCs w:val="24"/>
          <w:lang w:val="az-Latn-AZ"/>
        </w:rPr>
        <w:t>l</w:t>
      </w:r>
      <w:r w:rsidRPr="009C2EF2">
        <w:rPr>
          <w:rFonts w:ascii="Times New Roman" w:hAnsi="Times New Roman"/>
          <w:color w:val="231F20"/>
          <w:sz w:val="24"/>
          <w:szCs w:val="24"/>
          <w:lang w:val="az-Latn-AZ"/>
        </w:rPr>
        <w:t xml:space="preserve">də etmək hüququ istisna olmaqla, müvafiq maddi və ya qeyri-maddi </w:t>
      </w:r>
      <w:r w:rsidRPr="009C2EF2">
        <w:rPr>
          <w:rFonts w:ascii="Times New Roman" w:hAnsi="Times New Roman"/>
          <w:i/>
          <w:color w:val="231F20"/>
          <w:sz w:val="24"/>
          <w:szCs w:val="24"/>
          <w:lang w:val="az-Latn-AZ"/>
        </w:rPr>
        <w:lastRenderedPageBreak/>
        <w:t xml:space="preserve">aktivin </w:t>
      </w:r>
      <w:r w:rsidRPr="009C2EF2">
        <w:rPr>
          <w:rFonts w:ascii="Times New Roman" w:hAnsi="Times New Roman"/>
          <w:color w:val="231F20"/>
          <w:sz w:val="24"/>
          <w:szCs w:val="24"/>
          <w:lang w:val="az-Latn-AZ"/>
        </w:rPr>
        <w:t xml:space="preserve">hesabatda göstərilən dəyəri üzərindəki təsirlə bağlı məlumat </w:t>
      </w:r>
      <w:r w:rsidRPr="009C2EF2">
        <w:rPr>
          <w:rFonts w:ascii="Times New Roman" w:hAnsi="Times New Roman"/>
          <w:i/>
          <w:color w:val="231F20"/>
          <w:sz w:val="24"/>
          <w:szCs w:val="24"/>
          <w:lang w:val="az-Latn-AZ"/>
        </w:rPr>
        <w:t xml:space="preserve">daxil edilməlidir. </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a3"/>
        <w:numPr>
          <w:ilvl w:val="1"/>
          <w:numId w:val="44"/>
        </w:numPr>
        <w:tabs>
          <w:tab w:val="left" w:pos="681"/>
        </w:tabs>
        <w:kinsoku w:val="0"/>
        <w:overflowPunct w:val="0"/>
        <w:spacing w:line="250" w:lineRule="auto"/>
        <w:ind w:left="0" w:right="1186"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Müxtəlif </w:t>
      </w:r>
      <w:r w:rsidRPr="009C2EF2">
        <w:rPr>
          <w:rFonts w:ascii="Times New Roman" w:hAnsi="Times New Roman"/>
          <w:i/>
          <w:color w:val="231F20"/>
          <w:sz w:val="24"/>
          <w:szCs w:val="24"/>
          <w:lang w:val="az-Latn-AZ"/>
        </w:rPr>
        <w:t>məqsədlər</w:t>
      </w:r>
      <w:r w:rsidRPr="009C2EF2">
        <w:rPr>
          <w:rFonts w:ascii="Times New Roman" w:hAnsi="Times New Roman"/>
          <w:color w:val="231F20"/>
          <w:spacing w:val="-1"/>
          <w:sz w:val="24"/>
          <w:szCs w:val="24"/>
          <w:lang w:val="az-Latn-AZ"/>
        </w:rPr>
        <w:t>, o cümlədən maliyyə hesabatı, lizinq, təminatlı kreditləşmə, sərəncamvermə, vergiqoyma, məhkəmə işi və ləğvetmə proseduraları ilə bağlı olaraq bir çox hallarda istehsalat vasitələri, maşın və avadanlıqlar üzrə qiymətləndirmənin aparılması tələb olunur.</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Heading41"/>
        <w:numPr>
          <w:ilvl w:val="0"/>
          <w:numId w:val="43"/>
        </w:numPr>
        <w:tabs>
          <w:tab w:val="left" w:pos="681"/>
        </w:tabs>
        <w:kinsoku w:val="0"/>
        <w:overflowPunct w:val="0"/>
        <w:ind w:left="0" w:firstLine="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3C64E0" w:rsidP="0030639D">
      <w:pPr>
        <w:pStyle w:val="a3"/>
        <w:numPr>
          <w:ilvl w:val="1"/>
          <w:numId w:val="43"/>
        </w:numPr>
        <w:tabs>
          <w:tab w:val="left" w:pos="681"/>
        </w:tabs>
        <w:kinsoku w:val="0"/>
        <w:overflowPunct w:val="0"/>
        <w:spacing w:before="122" w:line="250" w:lineRule="auto"/>
        <w:ind w:left="0" w:right="1643"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104 Dəyər Bazaları bölməsində qeyd olunur ki, qiymətləndirici istehsalat vasitələri, maşın və avadanlıqları qiymətləndirərkən müvafiq dəyər bazası (bazaları) </w:t>
      </w:r>
      <w:r w:rsidRPr="009C2EF2">
        <w:rPr>
          <w:rFonts w:ascii="Times New Roman" w:hAnsi="Times New Roman"/>
          <w:i/>
          <w:color w:val="231F20"/>
          <w:sz w:val="24"/>
          <w:szCs w:val="24"/>
          <w:lang w:val="az-Latn-AZ"/>
        </w:rPr>
        <w:t>seçməlidir</w:t>
      </w:r>
      <w:r w:rsidRPr="009C2EF2">
        <w:rPr>
          <w:rFonts w:ascii="Times New Roman" w:hAnsi="Times New Roman"/>
          <w:color w:val="231F20"/>
          <w:sz w:val="24"/>
          <w:szCs w:val="24"/>
          <w:lang w:val="az-Latn-AZ"/>
        </w:rPr>
        <w:t>.</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a3"/>
        <w:numPr>
          <w:ilvl w:val="1"/>
          <w:numId w:val="43"/>
        </w:numPr>
        <w:tabs>
          <w:tab w:val="left" w:pos="681"/>
        </w:tabs>
        <w:kinsoku w:val="0"/>
        <w:overflowPunct w:val="0"/>
        <w:spacing w:line="250" w:lineRule="auto"/>
        <w:ind w:left="0" w:right="1283" w:firstLine="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Müvafiq dəyər bazasının (bazalarını) və əlaqədar dəyərləndirmə şərtlərinin tətbiqi (bax: BQS 104 Dəyər Bazaları, 140-170-ci bölmələr) istehsalat vasitələri, maşın və avadanlıqların qiymətləndirilməsi zamanı xüsusi</w:t>
      </w:r>
    </w:p>
    <w:p w:rsidR="00D02DD9" w:rsidRPr="009C2EF2" w:rsidRDefault="003C64E0" w:rsidP="0030639D">
      <w:pPr>
        <w:pStyle w:val="a3"/>
        <w:kinsoku w:val="0"/>
        <w:overflowPunct w:val="0"/>
        <w:spacing w:line="250" w:lineRule="auto"/>
        <w:ind w:left="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əhəmiyyət daşıyır, çünki, dəyərdəki fərqlər istehsalat vasitələri, maşın və avadanlığın istifadədə olduğu, nizamlı ləğvetmə və ya məcburi ləğvetmə zaman qiymətləndirilib qiymətləndirilməməsindən asılı olaraq açıqlanır (bax: BQS 104 Dəyər Bazaları, 80.1-ci bənd). Əksər istehsalat vasitələri, maşın və avadanlıqların dəyəri fərqli dəyərləndirmə şərtlərinə qarşı xüsusilə həssasdır.</w:t>
      </w:r>
    </w:p>
    <w:p w:rsidR="00D02DD9" w:rsidRPr="009C2EF2" w:rsidRDefault="00D02DD9" w:rsidP="0030639D">
      <w:pPr>
        <w:pStyle w:val="a3"/>
        <w:kinsoku w:val="0"/>
        <w:overflowPunct w:val="0"/>
        <w:spacing w:before="9"/>
        <w:ind w:left="0"/>
        <w:jc w:val="both"/>
        <w:rPr>
          <w:rFonts w:ascii="Times New Roman" w:hAnsi="Times New Roman"/>
          <w:sz w:val="24"/>
          <w:szCs w:val="24"/>
          <w:lang w:val="az-Latn-AZ"/>
        </w:rPr>
      </w:pPr>
    </w:p>
    <w:p w:rsidR="00D02DD9" w:rsidRPr="009C2EF2" w:rsidRDefault="003C64E0" w:rsidP="0030639D">
      <w:pPr>
        <w:pStyle w:val="a3"/>
        <w:numPr>
          <w:ilvl w:val="1"/>
          <w:numId w:val="43"/>
        </w:numPr>
        <w:tabs>
          <w:tab w:val="left" w:pos="681"/>
        </w:tabs>
        <w:kinsoku w:val="0"/>
        <w:overflowPunct w:val="0"/>
        <w:spacing w:line="250" w:lineRule="auto"/>
        <w:ind w:left="0" w:right="1185" w:firstLine="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Məcburi ləğvetmə hallarından biri icarə müddətinin başa çatması səbəbilə düzgün marketinq fəaliyyətinin həyata keçirilə bilmədiyi zaman çərçivəsində </w:t>
      </w:r>
      <w:r w:rsidRPr="009C2EF2">
        <w:rPr>
          <w:rFonts w:ascii="Times New Roman" w:hAnsi="Times New Roman"/>
          <w:i/>
          <w:color w:val="231F20"/>
          <w:sz w:val="24"/>
          <w:szCs w:val="24"/>
          <w:lang w:val="az-Latn-AZ"/>
        </w:rPr>
        <w:t xml:space="preserve">aktivlərin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4"/>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77</w:t>
      </w:r>
    </w:p>
    <w:p w:rsidR="00D02DD9" w:rsidRPr="009C2EF2" w:rsidRDefault="00D02DD9">
      <w:pPr>
        <w:pStyle w:val="a3"/>
        <w:kinsoku w:val="0"/>
        <w:overflowPunct w:val="0"/>
        <w:spacing w:before="80"/>
        <w:ind w:left="2878" w:right="3724"/>
        <w:jc w:val="center"/>
        <w:rPr>
          <w:rFonts w:ascii="Times New Roman" w:hAnsi="Times New Roman"/>
          <w:color w:val="000000"/>
          <w:sz w:val="24"/>
          <w:szCs w:val="24"/>
          <w:lang w:val="az-Latn-AZ"/>
        </w:rPr>
        <w:sectPr w:rsidR="00D02DD9" w:rsidRPr="009C2EF2">
          <w:footerReference w:type="default" r:id="rId8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5552" behindDoc="1" locked="0" layoutInCell="0" allowOverlap="1">
                <wp:simplePos x="0" y="0"/>
                <wp:positionH relativeFrom="page">
                  <wp:posOffset>0</wp:posOffset>
                </wp:positionH>
                <wp:positionV relativeFrom="page">
                  <wp:posOffset>0</wp:posOffset>
                </wp:positionV>
                <wp:extent cx="432435" cy="8424545"/>
                <wp:effectExtent l="0" t="0" r="0" b="0"/>
                <wp:wrapNone/>
                <wp:docPr id="96"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0CBDB5" id="Freeform 173" o:spid="_x0000_s1026" style="position:absolute;margin-left:0;margin-top:0;width:34.05pt;height:663.3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5n7ZDm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30639D">
      <w:pPr>
        <w:pStyle w:val="a3"/>
        <w:kinsoku w:val="0"/>
        <w:overflowPunct w:val="0"/>
        <w:spacing w:before="77" w:line="250" w:lineRule="auto"/>
        <w:ind w:right="150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əmlakdan kənarlaşdırılması halıdır. Bu cür halların təsiri dəyərə təsiri mütləq şəkildə nəzərə alınmalıdır. Reallaşdırılmalı olan dəyər üzrə məlumat vermək üçün aktivin yerləşdiyi ərazidən satış üzrə alternativləri, məsələn, praktikliyi və mövcud zaman çərçivəsində aktivlərin başqa bir məkana aparmaq üçün kənarlaşdırılması ilə bağlı xərci, aktivin istismar </w:t>
      </w:r>
      <w:r w:rsidRPr="009C2EF2">
        <w:rPr>
          <w:rFonts w:ascii="Times New Roman" w:hAnsi="Times New Roman"/>
          <w:color w:val="231F20"/>
          <w:sz w:val="24"/>
          <w:szCs w:val="24"/>
          <w:lang w:val="az-Latn-AZ"/>
        </w:rPr>
        <w:t xml:space="preserve">edildiyi məkandan kənarlaşdırılması səbəbilə dəyərdə azalmanın baş verməsini nəzərə almaq zəruridir.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2"/>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3C64E0">
      <w:pPr>
        <w:pStyle w:val="a3"/>
        <w:numPr>
          <w:ilvl w:val="1"/>
          <w:numId w:val="42"/>
        </w:numPr>
        <w:tabs>
          <w:tab w:val="left" w:pos="1531"/>
        </w:tabs>
        <w:kinsoku w:val="0"/>
        <w:overflowPunct w:val="0"/>
        <w:spacing w:before="122" w:line="250" w:lineRule="auto"/>
        <w:ind w:right="161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BQS-də göstərilən bu üç əsas qiymətləndirmə yanaşması istehsalat vasitələri, maşın və avadanlıq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 xml:space="preserve">xüsusiyyətindən, mövcud məlumatlardan və qiymətləndirməni əhatə edən fakt və şərtlərdən asılı olaraq həmin </w:t>
      </w:r>
      <w:r w:rsidRPr="009C2EF2">
        <w:rPr>
          <w:rFonts w:ascii="Times New Roman" w:hAnsi="Times New Roman"/>
          <w:i/>
          <w:color w:val="231F20"/>
          <w:spacing w:val="-1"/>
          <w:sz w:val="24"/>
          <w:szCs w:val="24"/>
          <w:lang w:val="az-Latn-AZ"/>
        </w:rPr>
        <w:t xml:space="preserve">aktivlərin </w:t>
      </w:r>
      <w:r w:rsidRPr="009C2EF2">
        <w:rPr>
          <w:rFonts w:ascii="Times New Roman" w:hAnsi="Times New Roman"/>
          <w:color w:val="231F20"/>
          <w:sz w:val="24"/>
          <w:szCs w:val="24"/>
          <w:lang w:val="az-Latn-AZ"/>
        </w:rPr>
        <w:t xml:space="preserve">qiymətləndirilməsi zamanı </w:t>
      </w:r>
      <w:r w:rsidRPr="009C2EF2">
        <w:rPr>
          <w:rFonts w:ascii="Times New Roman" w:hAnsi="Times New Roman"/>
          <w:i/>
          <w:color w:val="231F20"/>
          <w:spacing w:val="-1"/>
          <w:sz w:val="24"/>
          <w:szCs w:val="24"/>
          <w:lang w:val="az-Latn-AZ"/>
        </w:rPr>
        <w:t>tətbiq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1"/>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75026C" w:rsidP="00537609">
      <w:pPr>
        <w:pStyle w:val="a3"/>
        <w:numPr>
          <w:ilvl w:val="1"/>
          <w:numId w:val="41"/>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16768" behindDoc="0" locked="0" layoutInCell="0" allowOverlap="1">
                <wp:simplePos x="0" y="0"/>
                <wp:positionH relativeFrom="page">
                  <wp:posOffset>151130</wp:posOffset>
                </wp:positionH>
                <wp:positionV relativeFrom="paragraph">
                  <wp:posOffset>151130</wp:posOffset>
                </wp:positionV>
                <wp:extent cx="152400" cy="2959100"/>
                <wp:effectExtent l="0" t="0" r="0" b="0"/>
                <wp:wrapNone/>
                <wp:docPr id="9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6" type="#_x0000_t202" style="position:absolute;left:0;text-align:left;margin-left:11.9pt;margin-top:11.9pt;width:12pt;height:23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color w:val="231F20"/>
          <w:spacing w:val="-1"/>
          <w:sz w:val="24"/>
          <w:szCs w:val="24"/>
          <w:lang w:val="az-Latn-AZ"/>
        </w:rPr>
        <w:t>Bənzər avadanlıq növlərinə, məsələn, nəqliyyat vasitə</w:t>
      </w:r>
      <w:r w:rsidR="0030639D" w:rsidRPr="009C2EF2">
        <w:rPr>
          <w:rFonts w:ascii="Times New Roman" w:hAnsi="Times New Roman"/>
          <w:color w:val="231F20"/>
          <w:spacing w:val="-1"/>
          <w:sz w:val="24"/>
          <w:szCs w:val="24"/>
          <w:lang w:val="az-Latn-AZ"/>
        </w:rPr>
        <w:t>lə</w:t>
      </w:r>
      <w:r w:rsidR="003C64E0" w:rsidRPr="009C2EF2">
        <w:rPr>
          <w:rFonts w:ascii="Times New Roman" w:hAnsi="Times New Roman"/>
          <w:color w:val="231F20"/>
          <w:spacing w:val="-1"/>
          <w:sz w:val="24"/>
          <w:szCs w:val="24"/>
          <w:lang w:val="az-Latn-AZ"/>
        </w:rPr>
        <w:t xml:space="preserve">rinə və ofis avadanlığının müəyyən növlərinə və ya sənaye maşınlarına gəldikdə, bənzər </w:t>
      </w:r>
      <w:r w:rsidR="003C64E0" w:rsidRPr="009C2EF2">
        <w:rPr>
          <w:rFonts w:ascii="Times New Roman" w:hAnsi="Times New Roman"/>
          <w:i/>
          <w:color w:val="231F20"/>
          <w:spacing w:val="-1"/>
          <w:sz w:val="24"/>
          <w:szCs w:val="24"/>
          <w:lang w:val="az-Latn-AZ"/>
        </w:rPr>
        <w:t>aktivlərin</w:t>
      </w:r>
      <w:r w:rsidR="003C64E0" w:rsidRPr="009C2EF2">
        <w:rPr>
          <w:rFonts w:ascii="Times New Roman" w:hAnsi="Times New Roman"/>
          <w:color w:val="231F20"/>
          <w:spacing w:val="-1"/>
          <w:sz w:val="24"/>
          <w:szCs w:val="24"/>
          <w:lang w:val="az-Latn-AZ"/>
        </w:rPr>
        <w:t xml:space="preserve"> son satışı ilə bağlı kifayət qədər məlumat olduğu üçün bazar yanaşması geniş </w:t>
      </w:r>
      <w:r w:rsidR="003C64E0" w:rsidRPr="009C2EF2">
        <w:rPr>
          <w:rFonts w:ascii="Times New Roman" w:hAnsi="Times New Roman"/>
          <w:color w:val="231F20"/>
          <w:sz w:val="24"/>
          <w:szCs w:val="24"/>
          <w:lang w:val="az-Latn-AZ"/>
        </w:rPr>
        <w:t xml:space="preserve">şəkildə </w:t>
      </w:r>
      <w:r w:rsidR="003C64E0" w:rsidRPr="009C2EF2">
        <w:rPr>
          <w:rFonts w:ascii="Times New Roman" w:hAnsi="Times New Roman"/>
          <w:i/>
          <w:color w:val="231F20"/>
          <w:spacing w:val="-1"/>
          <w:sz w:val="24"/>
          <w:szCs w:val="24"/>
          <w:lang w:val="az-Latn-AZ"/>
        </w:rPr>
        <w:t>tətbiq oluna bilər</w:t>
      </w:r>
      <w:r w:rsidR="003C64E0" w:rsidRPr="009C2EF2">
        <w:rPr>
          <w:rFonts w:ascii="Times New Roman" w:hAnsi="Times New Roman"/>
          <w:color w:val="231F20"/>
          <w:sz w:val="24"/>
          <w:szCs w:val="24"/>
          <w:lang w:val="az-Latn-AZ"/>
        </w:rPr>
        <w:t xml:space="preserve">.  Lakin istehsalat vasitələri, maşın və avadanlıqların bir çox növü ixtisaslaşdırılır və həmin vasitələr ilə bağlı faktiki məlumatlar olmadıqda və mövcud bazar məlumatları kifayət etmədikdə dəyərin gəlir və ya xərc yanaşması ilə qiymətləndirilməsi üzrə rəy bildirərkən </w:t>
      </w:r>
      <w:r w:rsidR="003C64E0" w:rsidRPr="009C2EF2">
        <w:rPr>
          <w:rFonts w:ascii="Times New Roman" w:hAnsi="Times New Roman"/>
          <w:i/>
          <w:color w:val="231F20"/>
          <w:sz w:val="24"/>
          <w:szCs w:val="24"/>
          <w:lang w:val="az-Latn-AZ"/>
        </w:rPr>
        <w:t>xüsusilə diqqətli olmaq lazımdır</w:t>
      </w:r>
      <w:r w:rsidR="003C64E0" w:rsidRPr="009C2EF2">
        <w:rPr>
          <w:rFonts w:ascii="Times New Roman" w:hAnsi="Times New Roman"/>
          <w:color w:val="231F20"/>
          <w:sz w:val="24"/>
          <w:szCs w:val="24"/>
          <w:lang w:val="az-Latn-AZ"/>
        </w:rPr>
        <w:t xml:space="preserve">. Bu cür hallarda qiymətləndirmə zamanı gəlir və ya xərc yanaşmasının tətbiqi </w:t>
      </w:r>
      <w:r w:rsidR="003C64E0" w:rsidRPr="009C2EF2">
        <w:rPr>
          <w:rFonts w:ascii="Times New Roman" w:hAnsi="Times New Roman"/>
          <w:i/>
          <w:color w:val="231F20"/>
          <w:spacing w:val="-1"/>
          <w:sz w:val="24"/>
          <w:szCs w:val="24"/>
          <w:lang w:val="az-Latn-AZ"/>
        </w:rPr>
        <w:t>daha uyğun ola bilər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40"/>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3C64E0" w:rsidP="00537609">
      <w:pPr>
        <w:pStyle w:val="a3"/>
        <w:numPr>
          <w:ilvl w:val="1"/>
          <w:numId w:val="40"/>
        </w:numPr>
        <w:tabs>
          <w:tab w:val="left" w:pos="1531"/>
        </w:tabs>
        <w:kinsoku w:val="0"/>
        <w:overflowPunct w:val="0"/>
        <w:spacing w:before="122" w:line="250" w:lineRule="auto"/>
        <w:ind w:right="1287"/>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tamamlayıcı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z w:val="24"/>
          <w:szCs w:val="24"/>
          <w:lang w:val="az-Latn-AZ"/>
        </w:rPr>
        <w:t xml:space="preserve">qrupu ilə bağlı xüsusi maliyyə aktivlərinin müəyyən edilə bildiyi, məsələn, istehsalat müəssisəsi formalaşdıran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qrupunun əmtəəlik məhsullar istehsal etmək üçün fəaliyyət göstərdiyi hallarda </w:t>
      </w:r>
      <w:r w:rsidRPr="009C2EF2">
        <w:rPr>
          <w:rFonts w:ascii="Times New Roman" w:hAnsi="Times New Roman"/>
          <w:color w:val="231F20"/>
          <w:sz w:val="24"/>
          <w:szCs w:val="24"/>
          <w:lang w:val="az-Latn-AZ"/>
        </w:rPr>
        <w:lastRenderedPageBreak/>
        <w:t>istehsalat vasitələri, maşın və avadanlıqların qiymətləndirilməsi zamanı gəlir yanaşması tətbiq oluna bilər. Lakin bəzi maliyyə</w:t>
      </w:r>
      <w:r w:rsidR="0030639D" w:rsidRPr="009C2EF2">
        <w:rPr>
          <w:rFonts w:ascii="Times New Roman" w:hAnsi="Times New Roman"/>
          <w:color w:val="231F20"/>
          <w:sz w:val="24"/>
          <w:szCs w:val="24"/>
          <w:lang w:val="az-Latn-AZ"/>
        </w:rPr>
        <w:t xml:space="preserve"> </w:t>
      </w:r>
      <w:r w:rsidRPr="009C2EF2">
        <w:rPr>
          <w:rFonts w:ascii="Times New Roman" w:hAnsi="Times New Roman"/>
          <w:color w:val="231F20"/>
          <w:spacing w:val="1"/>
          <w:sz w:val="24"/>
          <w:szCs w:val="24"/>
          <w:lang w:val="az-Latn-AZ"/>
        </w:rPr>
        <w:t xml:space="preserve">axınları qeyri-maddi </w:t>
      </w:r>
      <w:r w:rsidRPr="009C2EF2">
        <w:rPr>
          <w:rFonts w:ascii="Times New Roman" w:hAnsi="Times New Roman"/>
          <w:i/>
          <w:color w:val="231F20"/>
          <w:sz w:val="24"/>
          <w:szCs w:val="24"/>
          <w:lang w:val="az-Latn-AZ"/>
        </w:rPr>
        <w:t xml:space="preserve">aktivlərə </w:t>
      </w:r>
      <w:r w:rsidRPr="009C2EF2">
        <w:rPr>
          <w:rFonts w:ascii="Times New Roman" w:hAnsi="Times New Roman"/>
          <w:color w:val="231F20"/>
          <w:spacing w:val="1"/>
          <w:sz w:val="24"/>
          <w:szCs w:val="24"/>
          <w:lang w:val="az-Latn-AZ"/>
        </w:rPr>
        <w:t>xas olduğu halda onları istehsalat vasitələri, maşın və avadanlıqlar üzrə pul axınından fərqləndirmək</w:t>
      </w:r>
      <w:r w:rsidRPr="009C2EF2">
        <w:rPr>
          <w:rFonts w:ascii="Times New Roman" w:hAnsi="Times New Roman"/>
          <w:i/>
          <w:color w:val="231F20"/>
          <w:spacing w:val="-1"/>
          <w:sz w:val="24"/>
          <w:szCs w:val="24"/>
          <w:lang w:val="az-Latn-AZ"/>
        </w:rPr>
        <w:t xml:space="preserve"> çətin ola bilər.</w:t>
      </w:r>
      <w:r w:rsidRPr="009C2EF2">
        <w:rPr>
          <w:rFonts w:ascii="Times New Roman" w:hAnsi="Times New Roman"/>
          <w:color w:val="231F20"/>
          <w:spacing w:val="1"/>
          <w:sz w:val="24"/>
          <w:szCs w:val="24"/>
          <w:lang w:val="az-Latn-AZ"/>
        </w:rPr>
        <w:t xml:space="preserve"> Gəlir yanaşmasının tətbiqi istehsalat vasitələri, maşın və ya avadanlıqların ayrı-ayrı hissələri üzrə praktik olmasa da, bu yanaşmadan müəyyən bir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və ya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pacing w:val="1"/>
          <w:sz w:val="24"/>
          <w:szCs w:val="24"/>
          <w:lang w:val="az-Latn-AZ"/>
        </w:rPr>
        <w:t>qrupu üzrə iqtisadi köhnəlmənin mövcud olub olmamasını və həcmini qiymətləndirərkən istifadə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CF60BC">
      <w:pPr>
        <w:pStyle w:val="a3"/>
        <w:numPr>
          <w:ilvl w:val="1"/>
          <w:numId w:val="40"/>
        </w:numPr>
        <w:tabs>
          <w:tab w:val="left" w:pos="1531"/>
        </w:tabs>
        <w:kinsoku w:val="0"/>
        <w:overflowPunct w:val="0"/>
        <w:spacing w:line="250" w:lineRule="auto"/>
        <w:ind w:right="102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İstehsalat vasitələri, maşın və avadanlıqları qiymətləndirmək üçün gəlir yanaşmasını tətbiq edərkən qiymətləndirmə zamanı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faydalı istismar müddəti ərzində yaranacağı gözlənilən pul axınları ilə yanaşı </w:t>
      </w:r>
      <w:r w:rsidRPr="009C2EF2">
        <w:rPr>
          <w:rFonts w:ascii="Times New Roman" w:hAnsi="Times New Roman"/>
          <w:i/>
          <w:color w:val="231F20"/>
          <w:sz w:val="24"/>
          <w:szCs w:val="24"/>
          <w:lang w:val="az-Latn-AZ"/>
        </w:rPr>
        <w:t>aktivin</w:t>
      </w:r>
      <w:r w:rsidRPr="009C2EF2">
        <w:rPr>
          <w:rFonts w:ascii="Times New Roman" w:hAnsi="Times New Roman"/>
          <w:color w:val="231F20"/>
          <w:spacing w:val="1"/>
          <w:sz w:val="24"/>
          <w:szCs w:val="24"/>
          <w:lang w:val="az-Latn-AZ"/>
        </w:rPr>
        <w:t xml:space="preserve"> bu müddətin sonundakı dəyəri </w:t>
      </w:r>
      <w:r w:rsidRPr="009C2EF2">
        <w:rPr>
          <w:rFonts w:ascii="Times New Roman" w:hAnsi="Times New Roman"/>
          <w:i/>
          <w:color w:val="231F20"/>
          <w:sz w:val="24"/>
          <w:szCs w:val="24"/>
          <w:lang w:val="az-Latn-AZ"/>
        </w:rPr>
        <w:t>nəzərə alınmalıdır</w:t>
      </w:r>
      <w:r w:rsidRPr="009C2EF2">
        <w:rPr>
          <w:rFonts w:ascii="Times New Roman" w:hAnsi="Times New Roman"/>
          <w:color w:val="231F20"/>
          <w:spacing w:val="1"/>
          <w:sz w:val="24"/>
          <w:szCs w:val="24"/>
          <w:lang w:val="az-Latn-AZ"/>
        </w:rPr>
        <w:t xml:space="preserve">. İstehsalat vasitələri, maşın və avadanlıqlar gəlir yanaşması ilə qiymətləndirildikdə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 xml:space="preserve">ilə bağlı dəyər parametrlərinin, qudvil və digər köməkçi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1"/>
          <w:sz w:val="24"/>
          <w:szCs w:val="24"/>
          <w:lang w:val="az-Latn-AZ"/>
        </w:rPr>
        <w:t xml:space="preserve">daxil edilməməsini təmin etmək üçün xüsusilə </w:t>
      </w:r>
      <w:r w:rsidRPr="009C2EF2">
        <w:rPr>
          <w:rFonts w:ascii="Times New Roman" w:hAnsi="Times New Roman"/>
          <w:i/>
          <w:color w:val="231F20"/>
          <w:sz w:val="24"/>
          <w:szCs w:val="24"/>
          <w:lang w:val="az-Latn-AZ"/>
        </w:rPr>
        <w:t>diqqətli olmaq tələb olunur</w:t>
      </w:r>
      <w:r w:rsidRPr="009C2EF2">
        <w:rPr>
          <w:rFonts w:ascii="Times New Roman" w:hAnsi="Times New Roman"/>
          <w:color w:val="231F20"/>
          <w:spacing w:val="1"/>
          <w:sz w:val="24"/>
          <w:szCs w:val="24"/>
          <w:lang w:val="az-Latn-AZ"/>
        </w:rPr>
        <w:t xml:space="preserve">(bax: BQS 210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9"/>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rsidP="00CF60BC">
      <w:pPr>
        <w:pStyle w:val="a3"/>
        <w:numPr>
          <w:ilvl w:val="1"/>
          <w:numId w:val="39"/>
        </w:numPr>
        <w:tabs>
          <w:tab w:val="left" w:pos="1531"/>
        </w:tabs>
        <w:kinsoku w:val="0"/>
        <w:overflowPunct w:val="0"/>
        <w:spacing w:before="122" w:line="250" w:lineRule="auto"/>
        <w:ind w:right="84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 ümumilikdə, istehsalat vasitələri, maşın və avadanlıqlar üzrə, xüsusilə də, ixtisaslaşdırılmış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və ya xüsusi məqsədli vasitələr ilə bağlı tətbiq olunur. Birinci addım bazar </w:t>
      </w:r>
      <w:r w:rsidRPr="009C2EF2">
        <w:rPr>
          <w:rFonts w:ascii="Times New Roman" w:hAnsi="Times New Roman"/>
          <w:i/>
          <w:color w:val="231F20"/>
          <w:spacing w:val="1"/>
          <w:sz w:val="24"/>
          <w:szCs w:val="24"/>
          <w:lang w:val="az-Latn-AZ"/>
        </w:rPr>
        <w:t xml:space="preserve">iştirakçısı </w:t>
      </w:r>
      <w:r w:rsidRPr="009C2EF2">
        <w:rPr>
          <w:rFonts w:ascii="Times New Roman" w:hAnsi="Times New Roman"/>
          <w:color w:val="231F20"/>
          <w:sz w:val="24"/>
          <w:szCs w:val="24"/>
          <w:lang w:val="az-Latn-AZ"/>
        </w:rPr>
        <w:t xml:space="preserve">üçün təkrar istehsal və ya əvəzetmə xərci arasında daha kiçiyinə istinad etməklə müvafiq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əvəzlənməsi ilə bağlı xərci hesablamaqdan ibarətdir.  Əvəzetmə xərci eyni funksiyaya malik alternativ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əldə olunması zamanı yaranan xərcdir. Bu alternativ həm eyni funksiyaya malik müasir avadanlıq, həm də müvafiq </w:t>
      </w:r>
    </w:p>
    <w:p w:rsidR="00D02DD9" w:rsidRPr="009C2EF2" w:rsidRDefault="003C64E0">
      <w:pPr>
        <w:pStyle w:val="a3"/>
        <w:kinsoku w:val="0"/>
        <w:overflowPunct w:val="0"/>
        <w:spacing w:before="80"/>
        <w:ind w:left="4184" w:right="435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78</w:t>
      </w:r>
    </w:p>
    <w:p w:rsidR="00D02DD9" w:rsidRPr="009C2EF2" w:rsidRDefault="00D02DD9">
      <w:pPr>
        <w:pStyle w:val="a3"/>
        <w:kinsoku w:val="0"/>
        <w:overflowPunct w:val="0"/>
        <w:spacing w:before="80"/>
        <w:ind w:left="4184" w:right="4353"/>
        <w:jc w:val="center"/>
        <w:rPr>
          <w:rFonts w:ascii="Times New Roman" w:hAnsi="Times New Roman"/>
          <w:color w:val="000000"/>
          <w:sz w:val="24"/>
          <w:szCs w:val="24"/>
          <w:lang w:val="az-Latn-AZ"/>
        </w:rPr>
        <w:sectPr w:rsidR="00D02DD9" w:rsidRPr="009C2EF2">
          <w:footerReference w:type="default" r:id="rId8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6576" behindDoc="1" locked="0" layoutInCell="0" allowOverlap="1">
                <wp:simplePos x="0" y="0"/>
                <wp:positionH relativeFrom="page">
                  <wp:posOffset>5183505</wp:posOffset>
                </wp:positionH>
                <wp:positionV relativeFrom="page">
                  <wp:posOffset>0</wp:posOffset>
                </wp:positionV>
                <wp:extent cx="431800" cy="8423910"/>
                <wp:effectExtent l="0" t="0" r="0" b="0"/>
                <wp:wrapNone/>
                <wp:docPr id="9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CAB70F" id="Freeform 175" o:spid="_x0000_s1026" style="position:absolute;margin-left:408.15pt;margin-top:0;width:34pt;height:663.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RWcaX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F60BC">
      <w:pPr>
        <w:pStyle w:val="a3"/>
        <w:kinsoku w:val="0"/>
        <w:overflowPunct w:val="0"/>
        <w:spacing w:before="79"/>
        <w:ind w:left="2878" w:right="297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kinsoku w:val="0"/>
        <w:overflowPunct w:val="0"/>
        <w:spacing w:before="77" w:line="250" w:lineRule="auto"/>
        <w:ind w:left="680" w:right="1000"/>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modelinin tam şəkildə yenidən istehsal edilmiş forması ola bilər. Dəyər əvəzetmə xərci tətbiq olunduqdan sonra dəyər üzrə fiziki, funksional, texnoloji və iqtisadi kö</w:t>
      </w:r>
      <w:r w:rsidR="00CF60BC" w:rsidRPr="009C2EF2">
        <w:rPr>
          <w:rFonts w:ascii="Times New Roman" w:hAnsi="Times New Roman"/>
          <w:color w:val="231F20"/>
          <w:sz w:val="24"/>
          <w:szCs w:val="24"/>
          <w:lang w:val="az-Latn-AZ"/>
        </w:rPr>
        <w:t>h</w:t>
      </w:r>
      <w:r w:rsidRPr="009C2EF2">
        <w:rPr>
          <w:rFonts w:ascii="Times New Roman" w:hAnsi="Times New Roman"/>
          <w:color w:val="231F20"/>
          <w:sz w:val="24"/>
          <w:szCs w:val="24"/>
          <w:lang w:val="az-Latn-AZ"/>
        </w:rPr>
        <w:t xml:space="preserve">nəlmənin dəyərinə təsiri əks etdirmək üçün </w:t>
      </w:r>
      <w:r w:rsidRPr="009C2EF2">
        <w:rPr>
          <w:rFonts w:ascii="Times New Roman" w:hAnsi="Times New Roman"/>
          <w:i/>
          <w:color w:val="231F20"/>
          <w:spacing w:val="1"/>
          <w:sz w:val="24"/>
          <w:szCs w:val="24"/>
          <w:lang w:val="az-Latn-AZ"/>
        </w:rPr>
        <w:t>uyğunlaşdırılmalıdır</w:t>
      </w:r>
      <w:r w:rsidRPr="009C2EF2">
        <w:rPr>
          <w:rFonts w:ascii="Times New Roman" w:hAnsi="Times New Roman"/>
          <w:color w:val="231F20"/>
          <w:sz w:val="24"/>
          <w:szCs w:val="24"/>
          <w:lang w:val="az-Latn-AZ"/>
        </w:rPr>
        <w:t xml:space="preserve">. İstənilən halda müəyyən əvəzetmə xərci üzrə aparılan uyğunlaşmalar məhsul və faydalılıq baxımından müasir ekvivalent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kimi eyni xərcə malik olmaq üçün </w:t>
      </w:r>
      <w:r w:rsidRPr="009C2EF2">
        <w:rPr>
          <w:rFonts w:ascii="Times New Roman" w:hAnsi="Times New Roman"/>
          <w:i/>
          <w:color w:val="231F20"/>
          <w:spacing w:val="1"/>
          <w:sz w:val="24"/>
          <w:szCs w:val="24"/>
          <w:lang w:val="az-Latn-AZ"/>
        </w:rPr>
        <w:t>tərtib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9"/>
        </w:numPr>
        <w:tabs>
          <w:tab w:val="left" w:pos="681"/>
        </w:tabs>
        <w:kinsoku w:val="0"/>
        <w:overflowPunct w:val="0"/>
        <w:spacing w:line="250" w:lineRule="auto"/>
        <w:ind w:left="680" w:right="124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Aktivin əldə olunması və konstruksiyası zamanı müəssisənin yaranan faktiki xərcləri müəyyən vəziyyətlərdə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üzrə əvəzetmə xərci kimi istifadə etməyə </w:t>
      </w:r>
      <w:r w:rsidRPr="009C2EF2">
        <w:rPr>
          <w:rFonts w:ascii="Times New Roman" w:hAnsi="Times New Roman"/>
          <w:i/>
          <w:color w:val="231F20"/>
          <w:sz w:val="24"/>
          <w:szCs w:val="24"/>
          <w:lang w:val="az-Latn-AZ"/>
        </w:rPr>
        <w:t>uyğun ola bilər</w:t>
      </w:r>
      <w:r w:rsidRPr="009C2EF2">
        <w:rPr>
          <w:rFonts w:ascii="Times New Roman" w:hAnsi="Times New Roman"/>
          <w:color w:val="231F20"/>
          <w:spacing w:val="1"/>
          <w:sz w:val="24"/>
          <w:szCs w:val="24"/>
          <w:lang w:val="az-Latn-AZ"/>
        </w:rPr>
        <w:t xml:space="preserve">.   Lakin xərclə bağlı bu cür öncəki məlumatları istifadə etməzdən öncə qiymətləndirici aşağıdakıları </w:t>
      </w:r>
      <w:r w:rsidRPr="009C2EF2">
        <w:rPr>
          <w:rFonts w:ascii="Times New Roman" w:hAnsi="Times New Roman"/>
          <w:i/>
          <w:color w:val="231F20"/>
          <w:sz w:val="24"/>
          <w:szCs w:val="24"/>
          <w:lang w:val="az-Latn-AZ"/>
        </w:rPr>
        <w:t>nəzərə almalıdır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9"/>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Əvvəlki xərclər üzrə vaxt bölgüsü: Müəssisənin faktiki xərcləri bazar qiymətlərindəki dəyişikliklər, inflyasiya / deflyasiya və ya digər amillərin təsiri ilə son zamanlarda yaranmayıbsa bu xərclər </w:t>
      </w:r>
      <w:r w:rsidRPr="009C2EF2">
        <w:rPr>
          <w:rFonts w:ascii="Times New Roman" w:hAnsi="Times New Roman"/>
          <w:i/>
          <w:color w:val="231F20"/>
          <w:spacing w:val="-1"/>
          <w:sz w:val="24"/>
          <w:szCs w:val="24"/>
          <w:lang w:val="az-Latn-AZ"/>
        </w:rPr>
        <w:t>müvafiq olmaya</w:t>
      </w:r>
      <w:r w:rsidRPr="009C2EF2">
        <w:rPr>
          <w:rFonts w:ascii="Times New Roman" w:hAnsi="Times New Roman"/>
          <w:color w:val="231F20"/>
          <w:sz w:val="24"/>
          <w:szCs w:val="24"/>
          <w:lang w:val="az-Latn-AZ"/>
        </w:rPr>
        <w:t xml:space="preserve"> və ya inflyasiya / indeksasiya ilə bağlı olaraq onların qiymətləndirmə tarixindəki ekvivalentə uyğunlaşdırılmasına </w:t>
      </w:r>
      <w:r w:rsidRPr="009C2EF2">
        <w:rPr>
          <w:rFonts w:ascii="Times New Roman" w:hAnsi="Times New Roman"/>
          <w:i/>
          <w:color w:val="231F20"/>
          <w:spacing w:val="-1"/>
          <w:sz w:val="24"/>
          <w:szCs w:val="24"/>
          <w:lang w:val="az-Latn-AZ"/>
        </w:rPr>
        <w:t>ehtiyac yarana 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39"/>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7792" behindDoc="0" locked="0" layoutInCell="0" allowOverlap="1">
                <wp:simplePos x="0" y="0"/>
                <wp:positionH relativeFrom="page">
                  <wp:posOffset>5276215</wp:posOffset>
                </wp:positionH>
                <wp:positionV relativeFrom="paragraph">
                  <wp:posOffset>-27305</wp:posOffset>
                </wp:positionV>
                <wp:extent cx="152400" cy="2959100"/>
                <wp:effectExtent l="0" t="0" r="0" b="0"/>
                <wp:wrapNone/>
                <wp:docPr id="9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17" type="#_x0000_t202" style="position:absolute;left:0;text-align:left;margin-left:415.45pt;margin-top:-2.15pt;width:12pt;height:23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9qrw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003C64E0" w:rsidRPr="009C2EF2">
        <w:rPr>
          <w:rFonts w:ascii="Times New Roman" w:hAnsi="Times New Roman"/>
          <w:color w:val="231F20"/>
          <w:sz w:val="24"/>
          <w:szCs w:val="24"/>
          <w:lang w:val="az-Latn-AZ"/>
        </w:rPr>
        <w:t xml:space="preserve">Dəyər bazası:  Xüsusi bazar </w:t>
      </w:r>
      <w:r w:rsidR="003C64E0" w:rsidRPr="009C2EF2">
        <w:rPr>
          <w:rFonts w:ascii="Times New Roman" w:hAnsi="Times New Roman"/>
          <w:i/>
          <w:color w:val="231F20"/>
          <w:spacing w:val="1"/>
          <w:sz w:val="24"/>
          <w:szCs w:val="24"/>
          <w:lang w:val="az-Latn-AZ"/>
        </w:rPr>
        <w:t xml:space="preserve">iştirakçılarının </w:t>
      </w:r>
      <w:r w:rsidR="003C64E0" w:rsidRPr="009C2EF2">
        <w:rPr>
          <w:rFonts w:ascii="Times New Roman" w:hAnsi="Times New Roman"/>
          <w:color w:val="231F20"/>
          <w:sz w:val="24"/>
          <w:szCs w:val="24"/>
          <w:lang w:val="az-Latn-AZ"/>
        </w:rPr>
        <w:t xml:space="preserve">xərclərinin smetası standart bazar </w:t>
      </w:r>
      <w:r w:rsidR="003C64E0" w:rsidRPr="009C2EF2">
        <w:rPr>
          <w:rFonts w:ascii="Times New Roman" w:hAnsi="Times New Roman"/>
          <w:i/>
          <w:color w:val="231F20"/>
          <w:sz w:val="24"/>
          <w:szCs w:val="24"/>
          <w:lang w:val="az-Latn-AZ"/>
        </w:rPr>
        <w:t xml:space="preserve">iştirakçılarının </w:t>
      </w:r>
      <w:r w:rsidR="003C64E0" w:rsidRPr="009C2EF2">
        <w:rPr>
          <w:rFonts w:ascii="Times New Roman" w:hAnsi="Times New Roman"/>
          <w:color w:val="231F20"/>
          <w:sz w:val="24"/>
          <w:szCs w:val="24"/>
          <w:lang w:val="az-Latn-AZ"/>
        </w:rPr>
        <w:t xml:space="preserve">ödədiyi məbləğdən </w:t>
      </w:r>
      <w:r w:rsidR="003C64E0" w:rsidRPr="009C2EF2">
        <w:rPr>
          <w:rFonts w:ascii="Times New Roman" w:hAnsi="Times New Roman"/>
          <w:i/>
          <w:color w:val="231F20"/>
          <w:spacing w:val="-1"/>
          <w:sz w:val="24"/>
          <w:szCs w:val="24"/>
          <w:lang w:val="az-Latn-AZ"/>
        </w:rPr>
        <w:t>fərqli ola bildiyinə görə</w:t>
      </w:r>
      <w:r w:rsidR="003C64E0" w:rsidRPr="009C2EF2">
        <w:rPr>
          <w:rFonts w:ascii="Times New Roman" w:hAnsi="Times New Roman"/>
          <w:color w:val="231F20"/>
          <w:sz w:val="24"/>
          <w:szCs w:val="24"/>
          <w:lang w:val="az-Latn-AZ"/>
        </w:rPr>
        <w:t xml:space="preserve"> bu cür xərcləri hesablayarkən </w:t>
      </w:r>
      <w:r w:rsidR="003C64E0" w:rsidRPr="009C2EF2">
        <w:rPr>
          <w:rFonts w:ascii="Times New Roman" w:hAnsi="Times New Roman"/>
          <w:i/>
          <w:color w:val="231F20"/>
          <w:sz w:val="24"/>
          <w:szCs w:val="24"/>
          <w:lang w:val="az-Latn-AZ"/>
        </w:rPr>
        <w:t>xüsusilə diqqətli olmaq tələb olunur</w:t>
      </w:r>
      <w:r w:rsidR="003C64E0" w:rsidRPr="009C2EF2">
        <w:rPr>
          <w:rFonts w:ascii="Times New Roman" w:hAnsi="Times New Roman"/>
          <w:color w:val="231F20"/>
          <w:sz w:val="24"/>
          <w:szCs w:val="24"/>
          <w:lang w:val="az-Latn-AZ"/>
        </w:rPr>
        <w:t xml:space="preserve">. Qiymətləndirici, həmçinin, </w:t>
      </w:r>
      <w:r w:rsidR="003C64E0" w:rsidRPr="009C2EF2">
        <w:rPr>
          <w:rFonts w:ascii="Times New Roman" w:hAnsi="Times New Roman"/>
          <w:i/>
          <w:color w:val="231F20"/>
          <w:sz w:val="24"/>
          <w:szCs w:val="24"/>
          <w:lang w:val="az-Latn-AZ"/>
        </w:rPr>
        <w:t>nəzərə almalıdır</w:t>
      </w:r>
      <w:r w:rsidR="003C64E0" w:rsidRPr="009C2EF2">
        <w:rPr>
          <w:rFonts w:ascii="Times New Roman" w:hAnsi="Times New Roman"/>
          <w:color w:val="231F20"/>
          <w:sz w:val="24"/>
          <w:szCs w:val="24"/>
          <w:lang w:val="az-Latn-AZ"/>
        </w:rPr>
        <w:t xml:space="preserve"> ki, əvvəlki dövrün alqı-satqı hesabatı və ya istifadə olunan istehsalat vasitələri, maşın və avadanlıq </w:t>
      </w:r>
      <w:r w:rsidR="003C64E0" w:rsidRPr="009C2EF2">
        <w:rPr>
          <w:rFonts w:ascii="Times New Roman" w:hAnsi="Times New Roman"/>
          <w:i/>
          <w:color w:val="231F20"/>
          <w:spacing w:val="-1"/>
          <w:sz w:val="24"/>
          <w:szCs w:val="24"/>
          <w:lang w:val="az-Latn-AZ"/>
        </w:rPr>
        <w:t xml:space="preserve">aktivlərinin </w:t>
      </w:r>
      <w:r w:rsidR="003C64E0" w:rsidRPr="009C2EF2">
        <w:rPr>
          <w:rFonts w:ascii="Times New Roman" w:hAnsi="Times New Roman"/>
          <w:color w:val="231F20"/>
          <w:sz w:val="24"/>
          <w:szCs w:val="24"/>
          <w:lang w:val="az-Latn-AZ"/>
        </w:rPr>
        <w:t xml:space="preserve">satın alınması səbəbilə müəssisənin xərcləri xarakter etibarilə əvvəlki dövrə </w:t>
      </w:r>
      <w:r w:rsidR="003C64E0" w:rsidRPr="009C2EF2">
        <w:rPr>
          <w:rFonts w:ascii="Times New Roman" w:hAnsi="Times New Roman"/>
          <w:i/>
          <w:color w:val="231F20"/>
          <w:spacing w:val="-2"/>
          <w:sz w:val="24"/>
          <w:szCs w:val="24"/>
          <w:lang w:val="az-Latn-AZ"/>
        </w:rPr>
        <w:t>aid olmaya bilər</w:t>
      </w:r>
      <w:r w:rsidR="003C64E0" w:rsidRPr="009C2EF2">
        <w:rPr>
          <w:rFonts w:ascii="Times New Roman" w:hAnsi="Times New Roman"/>
          <w:color w:val="231F20"/>
          <w:sz w:val="24"/>
          <w:szCs w:val="24"/>
          <w:lang w:val="az-Latn-AZ"/>
        </w:rPr>
        <w:t xml:space="preserve">.  İstənilən halda keçmiş xərclər  müvafiq göstəriciləri tətbiq etməklə </w:t>
      </w:r>
      <w:r w:rsidR="003C64E0" w:rsidRPr="009C2EF2">
        <w:rPr>
          <w:rFonts w:ascii="Times New Roman" w:hAnsi="Times New Roman"/>
          <w:i/>
          <w:color w:val="231F20"/>
          <w:sz w:val="24"/>
          <w:szCs w:val="24"/>
          <w:lang w:val="az-Latn-AZ"/>
        </w:rPr>
        <w:t>istifadə edilməlidir</w:t>
      </w:r>
      <w:r w:rsidR="003C64E0"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9"/>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Xüsusi xərclərə aşağıdakılar daxildir: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daxil edilmiş bütün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pacing w:val="1"/>
          <w:sz w:val="24"/>
          <w:szCs w:val="24"/>
          <w:lang w:val="az-Latn-AZ"/>
        </w:rPr>
        <w:t xml:space="preserve">xərcləri, həmin xərclərin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dəyərinə daxil olub olmadığını və bəzi dəyər bazaları ilə bağlı olaraq  yaranmış xərclər üzrə mənfəət marjasının </w:t>
      </w:r>
      <w:r w:rsidRPr="009C2EF2">
        <w:rPr>
          <w:rFonts w:ascii="Times New Roman" w:hAnsi="Times New Roman"/>
          <w:color w:val="231F20"/>
          <w:spacing w:val="1"/>
          <w:sz w:val="24"/>
          <w:szCs w:val="24"/>
          <w:lang w:val="az-Latn-AZ"/>
        </w:rPr>
        <w:lastRenderedPageBreak/>
        <w:t xml:space="preserve">müəyyən məbləğinin uyğun gəlib gəlmədiyini </w:t>
      </w:r>
      <w:r w:rsidRPr="009C2EF2">
        <w:rPr>
          <w:rFonts w:ascii="Times New Roman" w:hAnsi="Times New Roman"/>
          <w:i/>
          <w:color w:val="231F20"/>
          <w:sz w:val="24"/>
          <w:szCs w:val="24"/>
          <w:lang w:val="az-Latn-AZ"/>
        </w:rPr>
        <w:t>nəzərə almalıdır.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9"/>
        </w:numPr>
        <w:tabs>
          <w:tab w:val="left" w:pos="965"/>
        </w:tabs>
        <w:kinsoku w:val="0"/>
        <w:overflowPunct w:val="0"/>
        <w:spacing w:line="250" w:lineRule="auto"/>
        <w:ind w:left="964" w:right="1351"/>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Qeyri-bazar komponentləri: Standart bazar iştirakçıları tərəfindən yaranmayan xərclər, diskontlar və ya güzəştlər </w:t>
      </w:r>
      <w:r w:rsidRPr="009C2EF2">
        <w:rPr>
          <w:rFonts w:ascii="Times New Roman" w:hAnsi="Times New Roman"/>
          <w:i/>
          <w:color w:val="231F20"/>
          <w:sz w:val="24"/>
          <w:szCs w:val="24"/>
          <w:lang w:val="az-Latn-AZ"/>
        </w:rPr>
        <w:t>daxil edilməməlidir.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9"/>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Əvəzetmə xərci və tutulmalar müəyyən edilərkən onların fiziki, funksional, texnoloji və </w:t>
      </w:r>
      <w:r w:rsidR="00CF60BC" w:rsidRPr="009C2EF2">
        <w:rPr>
          <w:rFonts w:ascii="Times New Roman" w:hAnsi="Times New Roman"/>
          <w:color w:val="231F20"/>
          <w:sz w:val="24"/>
          <w:szCs w:val="24"/>
          <w:lang w:val="az-Latn-AZ"/>
        </w:rPr>
        <w:t>iqtisadi</w:t>
      </w:r>
      <w:r w:rsidRPr="009C2EF2">
        <w:rPr>
          <w:rFonts w:ascii="Times New Roman" w:hAnsi="Times New Roman"/>
          <w:color w:val="231F20"/>
          <w:sz w:val="24"/>
          <w:szCs w:val="24"/>
          <w:lang w:val="az-Latn-AZ"/>
        </w:rPr>
        <w:t xml:space="preserve"> köhnəlməni müvafiq qaydada əks etdirməsi </w:t>
      </w:r>
      <w:r w:rsidRPr="009C2EF2">
        <w:rPr>
          <w:rFonts w:ascii="Times New Roman" w:hAnsi="Times New Roman"/>
          <w:i/>
          <w:color w:val="231F20"/>
          <w:sz w:val="24"/>
          <w:szCs w:val="24"/>
          <w:lang w:val="az-Latn-AZ"/>
        </w:rPr>
        <w:t>nəzərə alınmalıdır</w:t>
      </w:r>
      <w:r w:rsidRPr="009C2EF2">
        <w:rPr>
          <w:rFonts w:ascii="Times New Roman" w:hAnsi="Times New Roman"/>
          <w:color w:val="231F20"/>
          <w:sz w:val="24"/>
          <w:szCs w:val="24"/>
          <w:lang w:val="az-Latn-AZ"/>
        </w:rPr>
        <w:t xml:space="preserve"> (bax: BQS 105 </w:t>
      </w:r>
      <w:r w:rsidRPr="009C2EF2">
        <w:rPr>
          <w:rFonts w:ascii="Times New Roman" w:hAnsi="Times New Roman"/>
          <w:i/>
          <w:color w:val="231F20"/>
          <w:spacing w:val="-1"/>
          <w:sz w:val="24"/>
          <w:szCs w:val="24"/>
          <w:lang w:val="az-Latn-AZ"/>
        </w:rPr>
        <w:t>Qiymətləndirmə Yanaşmaları və Metodları, 80-ci bölmə</w:t>
      </w:r>
      <w:r w:rsidRPr="009C2EF2">
        <w:rPr>
          <w:rFonts w:ascii="Times New Roman" w:hAnsi="Times New Roman"/>
          <w:color w:val="231F20"/>
          <w:sz w:val="24"/>
          <w:szCs w:val="24"/>
          <w:lang w:val="az-Latn-AZ"/>
        </w:rPr>
        <w:t xml:space="preserve">). </w:t>
      </w: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2"/>
          <w:sz w:val="24"/>
          <w:szCs w:val="24"/>
          <w:lang w:val="az-Latn-AZ"/>
        </w:rPr>
        <w:t>Xərc və potensial nisbəti metodu</w:t>
      </w:r>
    </w:p>
    <w:p w:rsidR="00D02DD9" w:rsidRPr="009C2EF2" w:rsidRDefault="003C64E0">
      <w:pPr>
        <w:pStyle w:val="a3"/>
        <w:numPr>
          <w:ilvl w:val="1"/>
          <w:numId w:val="39"/>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və potensial nisbəti metodunun tətbiqi zamanı fərqli potensiala malik bənzər bir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xərcinə istinad etməklə </w:t>
      </w:r>
      <w:r w:rsidRPr="009C2EF2">
        <w:rPr>
          <w:rFonts w:ascii="Times New Roman" w:hAnsi="Times New Roman"/>
          <w:i/>
          <w:color w:val="231F20"/>
          <w:sz w:val="24"/>
          <w:szCs w:val="24"/>
          <w:lang w:val="az-Latn-AZ"/>
        </w:rPr>
        <w:t xml:space="preserve">aktivin </w:t>
      </w:r>
      <w:r w:rsidR="00CF60BC" w:rsidRPr="009C2EF2">
        <w:rPr>
          <w:rFonts w:ascii="Times New Roman" w:hAnsi="Times New Roman"/>
          <w:color w:val="231F20"/>
          <w:sz w:val="24"/>
          <w:szCs w:val="24"/>
          <w:lang w:val="az-Latn-AZ"/>
        </w:rPr>
        <w:t>əvəzetmə</w:t>
      </w:r>
      <w:r w:rsidRPr="009C2EF2">
        <w:rPr>
          <w:rFonts w:ascii="Times New Roman" w:hAnsi="Times New Roman"/>
          <w:color w:val="231F20"/>
          <w:sz w:val="24"/>
          <w:szCs w:val="24"/>
          <w:lang w:val="az-Latn-AZ"/>
        </w:rPr>
        <w:t xml:space="preserve"> xərci faktiki və ya tələb olunan potensial ilə müəyyən edilə bilər.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9"/>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Xərc və potensial nisbəti metodundan, başlıca olaraq, iki şəkildə istifadə olunur: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39"/>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fərqli potensiala malik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və ya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əvəzetmə xərcləri  məlum olduqda bir potensiala malik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üzrə əvəzetmə xərcini qiymətləndirmək üçün (məsələn, mövcud dəyərlə iki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bir </w:t>
      </w:r>
      <w:r w:rsidRPr="009C2EF2">
        <w:rPr>
          <w:rFonts w:ascii="Times New Roman" w:hAnsi="Times New Roman"/>
          <w:i/>
          <w:color w:val="231F20"/>
          <w:sz w:val="24"/>
          <w:szCs w:val="24"/>
          <w:lang w:val="az-Latn-AZ"/>
        </w:rPr>
        <w:t xml:space="preserve">aktivlə </w:t>
      </w:r>
      <w:r w:rsidRPr="009C2EF2">
        <w:rPr>
          <w:rFonts w:ascii="Times New Roman" w:hAnsi="Times New Roman"/>
          <w:color w:val="231F20"/>
          <w:sz w:val="24"/>
          <w:szCs w:val="24"/>
          <w:lang w:val="az-Latn-AZ"/>
        </w:rPr>
        <w:t xml:space="preserve">əvəzlənə bilməsi) və ya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9"/>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artıq potensiala malik olduqda proqnozlaşdırıla bilən tələbə uyğun olan potensiala malik müasir ekvivalent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üzr</w:t>
      </w:r>
      <w:r w:rsidR="00CF60BC" w:rsidRPr="009C2EF2">
        <w:rPr>
          <w:rFonts w:ascii="Times New Roman" w:hAnsi="Times New Roman"/>
          <w:color w:val="231F20"/>
          <w:sz w:val="24"/>
          <w:szCs w:val="24"/>
          <w:lang w:val="az-Latn-AZ"/>
        </w:rPr>
        <w:t>ə əvəzetmə xərcini hesablamaq üçün</w:t>
      </w:r>
      <w:r w:rsidRPr="009C2EF2">
        <w:rPr>
          <w:rFonts w:ascii="Times New Roman" w:hAnsi="Times New Roman"/>
          <w:color w:val="231F20"/>
          <w:sz w:val="24"/>
          <w:szCs w:val="24"/>
          <w:lang w:val="az-Latn-AZ"/>
        </w:rPr>
        <w:t xml:space="preserve"> (iqtisadi köhnəlmənin tənzimlənməsinin bir hissəsi kimi tətbiq olunan faydalılığın çatışmazlığı üzrə cəriməni müəyyən etmək üçün bir vasitə kimi)</w:t>
      </w:r>
    </w:p>
    <w:p w:rsidR="00D02DD9" w:rsidRPr="009C2EF2" w:rsidRDefault="00D02DD9">
      <w:pPr>
        <w:pStyle w:val="a3"/>
        <w:kinsoku w:val="0"/>
        <w:overflowPunct w:val="0"/>
        <w:spacing w:before="5"/>
        <w:ind w:left="0"/>
        <w:rPr>
          <w:rFonts w:ascii="Times New Roman" w:hAnsi="Times New Roman"/>
          <w:sz w:val="24"/>
          <w:szCs w:val="24"/>
          <w:lang w:val="az-Latn-AZ"/>
        </w:rPr>
      </w:pPr>
    </w:p>
    <w:p w:rsidR="00D02DD9" w:rsidRPr="009C2EF2" w:rsidRDefault="003C64E0">
      <w:pPr>
        <w:pStyle w:val="a3"/>
        <w:kinsoku w:val="0"/>
        <w:overflowPunct w:val="0"/>
        <w:spacing w:before="80"/>
        <w:ind w:left="2877" w:right="3725"/>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79</w:t>
      </w:r>
    </w:p>
    <w:p w:rsidR="00D02DD9" w:rsidRPr="009C2EF2" w:rsidRDefault="00D02DD9">
      <w:pPr>
        <w:pStyle w:val="a3"/>
        <w:kinsoku w:val="0"/>
        <w:overflowPunct w:val="0"/>
        <w:spacing w:before="80"/>
        <w:ind w:left="2877" w:right="3725"/>
        <w:jc w:val="center"/>
        <w:rPr>
          <w:rFonts w:ascii="Times New Roman" w:hAnsi="Times New Roman"/>
          <w:color w:val="000000"/>
          <w:sz w:val="24"/>
          <w:szCs w:val="24"/>
          <w:lang w:val="az-Latn-AZ"/>
        </w:rPr>
        <w:sectPr w:rsidR="00D02DD9" w:rsidRPr="009C2EF2">
          <w:footerReference w:type="default" r:id="rId8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618816" behindDoc="0" locked="0" layoutInCell="0" allowOverlap="1">
                <wp:simplePos x="0" y="0"/>
                <wp:positionH relativeFrom="page">
                  <wp:posOffset>191135</wp:posOffset>
                </wp:positionH>
                <wp:positionV relativeFrom="paragraph">
                  <wp:posOffset>-2154555</wp:posOffset>
                </wp:positionV>
                <wp:extent cx="241300" cy="8093710"/>
                <wp:effectExtent l="0" t="0" r="0" b="0"/>
                <wp:wrapNone/>
                <wp:docPr id="9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09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18" type="#_x0000_t202" style="position:absolute;margin-left:15.05pt;margin-top:-169.65pt;width:19pt;height:637.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TitQIAALc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 üzrə standartlar - BQS 300 istehsalat vasitələri, maşın və avadanlıqlar</w:t>
                      </w:r>
                    </w:p>
                  </w:txbxContent>
                </v:textbox>
                <w10:wrap anchorx="page"/>
              </v:shape>
            </w:pict>
          </mc:Fallback>
        </mc:AlternateContent>
      </w: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737600" behindDoc="1" locked="0" layoutInCell="0" allowOverlap="1">
                <wp:simplePos x="0" y="0"/>
                <wp:positionH relativeFrom="page">
                  <wp:posOffset>0</wp:posOffset>
                </wp:positionH>
                <wp:positionV relativeFrom="page">
                  <wp:posOffset>0</wp:posOffset>
                </wp:positionV>
                <wp:extent cx="432435" cy="8424545"/>
                <wp:effectExtent l="0" t="0" r="0" b="0"/>
                <wp:wrapNone/>
                <wp:docPr id="9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665A8A" id="Freeform 177" o:spid="_x0000_s1026" style="position:absolute;margin-left:0;margin-top:0;width:34.05pt;height:663.3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DfdkuM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39"/>
        </w:numPr>
        <w:tabs>
          <w:tab w:val="left" w:pos="1531"/>
        </w:tabs>
        <w:kinsoku w:val="0"/>
        <w:overflowPunct w:val="0"/>
        <w:spacing w:before="77" w:line="250" w:lineRule="auto"/>
        <w:ind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metod yalnız eyni coğrafi ərazi daxilində yerləşən və eyni potensiala malik qurğu mövcud olmadıqda yoxlama metodu kimi </w:t>
      </w:r>
      <w:r w:rsidRPr="009C2EF2">
        <w:rPr>
          <w:rFonts w:ascii="Times New Roman" w:hAnsi="Times New Roman"/>
          <w:i/>
          <w:color w:val="231F20"/>
          <w:spacing w:val="-1"/>
          <w:sz w:val="24"/>
          <w:szCs w:val="24"/>
          <w:lang w:val="az-Latn-AZ"/>
        </w:rPr>
        <w:t>tətbiq oluna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9"/>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Qeyd olunur ki, xərc və potensial arasındakı əlaqə adətən düzxətli olmur, ona görə də eksponent tənzimlənmənin müəyyən formasının tətbiqi </w:t>
      </w:r>
      <w:r w:rsidRPr="009C2EF2">
        <w:rPr>
          <w:rFonts w:ascii="Times New Roman" w:hAnsi="Times New Roman"/>
          <w:i/>
          <w:color w:val="231F20"/>
          <w:spacing w:val="-1"/>
          <w:sz w:val="24"/>
          <w:szCs w:val="24"/>
          <w:lang w:val="az-Latn-AZ"/>
        </w:rPr>
        <w:t>tələb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38"/>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İstehsalat vasitələri, maşın və avadanlıqlar üzrə xüsusi mülahizələr</w:t>
      </w:r>
    </w:p>
    <w:p w:rsidR="00D02DD9" w:rsidRPr="009C2EF2" w:rsidRDefault="003C64E0">
      <w:pPr>
        <w:pStyle w:val="a3"/>
        <w:numPr>
          <w:ilvl w:val="1"/>
          <w:numId w:val="38"/>
        </w:numPr>
        <w:tabs>
          <w:tab w:val="left" w:pos="1531"/>
        </w:tabs>
        <w:kinsoku w:val="0"/>
        <w:overflowPunct w:val="0"/>
        <w:spacing w:before="122" w:line="250" w:lineRule="auto"/>
        <w:ind w:right="1243"/>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Sazişləri adlı aşağıdakı bölmə istehsalat vasitələri, maşın və avadanlıqların qiymətləndirilməsinə uyğun olan mövzuların natamam siyahısını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Maliyyə sazişləri</w:t>
      </w:r>
    </w:p>
    <w:p w:rsidR="00D02DD9" w:rsidRPr="009C2EF2" w:rsidRDefault="003C64E0">
      <w:pPr>
        <w:pStyle w:val="a3"/>
        <w:numPr>
          <w:ilvl w:val="1"/>
          <w:numId w:val="37"/>
        </w:numPr>
        <w:tabs>
          <w:tab w:val="left" w:pos="1531"/>
        </w:tabs>
        <w:kinsoku w:val="0"/>
        <w:overflowPunct w:val="0"/>
        <w:spacing w:before="122" w:line="250" w:lineRule="auto"/>
        <w:ind w:right="141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Ümumilikdə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pacing w:val="-1"/>
          <w:sz w:val="24"/>
          <w:szCs w:val="24"/>
          <w:lang w:val="az-Latn-AZ"/>
        </w:rPr>
        <w:t>dəyəri onun maliyyələşdirildiyi üsuldan asılıdır. Lakin müəyyən vəziyyətlərdə istehsalat vasitələri, maşın və avadanlıqların maliyyələşdirildiyi üsulun qiymətləndirmə zamanı nəzərə alınması</w:t>
      </w:r>
      <w:r w:rsidRPr="009C2EF2">
        <w:rPr>
          <w:rFonts w:ascii="Times New Roman" w:hAnsi="Times New Roman"/>
          <w:i/>
          <w:color w:val="231F20"/>
          <w:spacing w:val="-1"/>
          <w:sz w:val="24"/>
          <w:szCs w:val="24"/>
          <w:lang w:val="az-Latn-AZ"/>
        </w:rPr>
        <w:t xml:space="preserve"> tələb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7"/>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İstehsalat vasitələri, maşın və avadanlıqlar ilə bağlı icarə və ya maliyyələşdirmə sazişləri </w:t>
      </w:r>
      <w:r w:rsidRPr="009C2EF2">
        <w:rPr>
          <w:rFonts w:ascii="Times New Roman" w:hAnsi="Times New Roman"/>
          <w:i/>
          <w:color w:val="231F20"/>
          <w:spacing w:val="-1"/>
          <w:sz w:val="24"/>
          <w:szCs w:val="24"/>
          <w:lang w:val="az-Latn-AZ"/>
        </w:rPr>
        <w:t>bağlana bilər.</w:t>
      </w:r>
      <w:r w:rsidRPr="009C2EF2">
        <w:rPr>
          <w:rFonts w:ascii="Times New Roman" w:hAnsi="Times New Roman"/>
          <w:color w:val="231F20"/>
          <w:spacing w:val="1"/>
          <w:sz w:val="24"/>
          <w:szCs w:val="24"/>
          <w:lang w:val="az-Latn-AZ"/>
        </w:rPr>
        <w:t xml:space="preserve"> Buna müvafiq olaraq,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maliyyələşdirmə sazişi üzrə borcverənə və icarəyə verənə borc qalığı ödənilməyənə qədər satıla bilməz. Bu ödəniş vasitənin azad dəyərindən </w:t>
      </w:r>
      <w:r w:rsidRPr="009C2EF2">
        <w:rPr>
          <w:rFonts w:ascii="Times New Roman" w:hAnsi="Times New Roman"/>
          <w:i/>
          <w:color w:val="231F20"/>
          <w:spacing w:val="-1"/>
          <w:sz w:val="24"/>
          <w:szCs w:val="24"/>
          <w:lang w:val="az-Latn-AZ"/>
        </w:rPr>
        <w:t xml:space="preserve">çox </w:t>
      </w:r>
      <w:r w:rsidRPr="009C2EF2">
        <w:rPr>
          <w:rFonts w:ascii="Times New Roman" w:hAnsi="Times New Roman"/>
          <w:color w:val="231F20"/>
          <w:spacing w:val="1"/>
          <w:sz w:val="24"/>
          <w:szCs w:val="24"/>
          <w:lang w:val="az-Latn-AZ"/>
        </w:rPr>
        <w:t xml:space="preserve">və ya </w:t>
      </w:r>
      <w:r w:rsidRPr="009C2EF2">
        <w:rPr>
          <w:rFonts w:ascii="Times New Roman" w:hAnsi="Times New Roman"/>
          <w:i/>
          <w:color w:val="231F20"/>
          <w:spacing w:val="-1"/>
          <w:sz w:val="24"/>
          <w:szCs w:val="24"/>
          <w:lang w:val="az-Latn-AZ"/>
        </w:rPr>
        <w:t xml:space="preserve">az </w:t>
      </w:r>
      <w:r w:rsidRPr="009C2EF2">
        <w:rPr>
          <w:rFonts w:ascii="Times New Roman" w:hAnsi="Times New Roman"/>
          <w:color w:val="231F20"/>
          <w:spacing w:val="1"/>
          <w:sz w:val="24"/>
          <w:szCs w:val="24"/>
          <w:lang w:val="az-Latn-AZ"/>
        </w:rPr>
        <w:t xml:space="preserve">ola bilər. </w:t>
      </w:r>
      <w:r w:rsidRPr="009C2EF2">
        <w:rPr>
          <w:rFonts w:ascii="Times New Roman" w:hAnsi="Times New Roman"/>
          <w:i/>
          <w:color w:val="231F20"/>
          <w:spacing w:val="1"/>
          <w:sz w:val="24"/>
          <w:szCs w:val="24"/>
          <w:lang w:val="az-Latn-AZ"/>
        </w:rPr>
        <w:t xml:space="preserve">Qiymətləndirmənin məqsədindən </w:t>
      </w:r>
      <w:r w:rsidRPr="009C2EF2">
        <w:rPr>
          <w:rFonts w:ascii="Times New Roman" w:hAnsi="Times New Roman"/>
          <w:color w:val="231F20"/>
          <w:spacing w:val="1"/>
          <w:sz w:val="24"/>
          <w:szCs w:val="24"/>
          <w:lang w:val="az-Latn-AZ"/>
        </w:rPr>
        <w:t xml:space="preserve">asılı olaraq, o, girov yüklü </w:t>
      </w:r>
      <w:r w:rsidRPr="009C2EF2">
        <w:rPr>
          <w:rFonts w:ascii="Times New Roman" w:hAnsi="Times New Roman"/>
          <w:i/>
          <w:color w:val="231F20"/>
          <w:spacing w:val="-1"/>
          <w:sz w:val="24"/>
          <w:szCs w:val="24"/>
          <w:lang w:val="az-Latn-AZ"/>
        </w:rPr>
        <w:t xml:space="preserve">aktivləri </w:t>
      </w:r>
      <w:r w:rsidRPr="009C2EF2">
        <w:rPr>
          <w:rFonts w:ascii="Times New Roman" w:hAnsi="Times New Roman"/>
          <w:color w:val="231F20"/>
          <w:spacing w:val="1"/>
          <w:sz w:val="24"/>
          <w:szCs w:val="24"/>
          <w:lang w:val="az-Latn-AZ"/>
        </w:rPr>
        <w:t xml:space="preserve">müəyyən etmək və onların dəyərini azad </w:t>
      </w:r>
      <w:r w:rsidRPr="009C2EF2">
        <w:rPr>
          <w:rFonts w:ascii="Times New Roman" w:hAnsi="Times New Roman"/>
          <w:i/>
          <w:color w:val="231F20"/>
          <w:spacing w:val="-1"/>
          <w:sz w:val="24"/>
          <w:szCs w:val="24"/>
          <w:lang w:val="az-Latn-AZ"/>
        </w:rPr>
        <w:t xml:space="preserve">aktivlərdən </w:t>
      </w:r>
      <w:r w:rsidRPr="009C2EF2">
        <w:rPr>
          <w:rFonts w:ascii="Times New Roman" w:hAnsi="Times New Roman"/>
          <w:color w:val="231F20"/>
          <w:spacing w:val="1"/>
          <w:sz w:val="24"/>
          <w:szCs w:val="24"/>
          <w:lang w:val="az-Latn-AZ"/>
        </w:rPr>
        <w:t>ayrıca bildirmək üçün uyğun</w:t>
      </w:r>
      <w:r w:rsidRPr="009C2EF2">
        <w:rPr>
          <w:rFonts w:ascii="Times New Roman" w:hAnsi="Times New Roman"/>
          <w:i/>
          <w:color w:val="231F20"/>
          <w:spacing w:val="-1"/>
          <w:sz w:val="24"/>
          <w:szCs w:val="24"/>
          <w:lang w:val="az-Latn-AZ"/>
        </w:rPr>
        <w:t xml:space="preserve"> ola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7"/>
        </w:numPr>
        <w:tabs>
          <w:tab w:val="left" w:pos="1531"/>
        </w:tabs>
        <w:kinsoku w:val="0"/>
        <w:overflowPunct w:val="0"/>
        <w:spacing w:line="250" w:lineRule="auto"/>
        <w:ind w:right="147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Əməliyyat lizinqi üzrə istismar olunan istehsalat vasitələri, maşın və avadanlıqlar üçüncü tərəflərin əmlakı hesab olunduğu üçün içarəçinin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z w:val="24"/>
          <w:szCs w:val="24"/>
          <w:lang w:val="az-Latn-AZ"/>
        </w:rPr>
        <w:t xml:space="preserve">qiymətləndirilərkən onlar nəzərə alınmır. </w:t>
      </w:r>
    </w:p>
    <w:p w:rsidR="00D02DD9" w:rsidRPr="009C2EF2" w:rsidRDefault="003C64E0">
      <w:pPr>
        <w:pStyle w:val="a3"/>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Lakin bu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pacing w:val="-2"/>
          <w:sz w:val="24"/>
          <w:szCs w:val="24"/>
          <w:lang w:val="az-Latn-AZ"/>
        </w:rPr>
        <w:t xml:space="preserve">mövcudluğu icarəçinin onlarla birlikdə istifadə olunan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pacing w:val="-2"/>
          <w:sz w:val="24"/>
          <w:szCs w:val="24"/>
          <w:lang w:val="az-Latn-AZ"/>
        </w:rPr>
        <w:t xml:space="preserve">dəyərinə </w:t>
      </w:r>
      <w:r w:rsidRPr="009C2EF2">
        <w:rPr>
          <w:rFonts w:ascii="Times New Roman" w:hAnsi="Times New Roman"/>
          <w:i/>
          <w:color w:val="231F20"/>
          <w:spacing w:val="-2"/>
          <w:sz w:val="24"/>
          <w:szCs w:val="24"/>
          <w:lang w:val="az-Latn-AZ"/>
        </w:rPr>
        <w:t>təsir edə bildiyi</w:t>
      </w:r>
      <w:r w:rsidRPr="009C2EF2">
        <w:rPr>
          <w:rFonts w:ascii="Times New Roman" w:hAnsi="Times New Roman"/>
          <w:color w:val="231F20"/>
          <w:spacing w:val="-2"/>
          <w:sz w:val="24"/>
          <w:szCs w:val="24"/>
          <w:lang w:val="az-Latn-AZ"/>
        </w:rPr>
        <w:t xml:space="preserve"> üçün onlarla bağlı qeyd aparılmalıdır. İstənilən halda qiymətləndirmə aparmazdan öncə </w:t>
      </w:r>
      <w:r w:rsidRPr="009C2EF2">
        <w:rPr>
          <w:rFonts w:ascii="Times New Roman" w:hAnsi="Times New Roman"/>
          <w:i/>
          <w:color w:val="231F20"/>
          <w:sz w:val="24"/>
          <w:szCs w:val="24"/>
          <w:lang w:val="az-Latn-AZ"/>
        </w:rPr>
        <w:t xml:space="preserve">qiymətləndirici aktivlərlə </w:t>
      </w:r>
      <w:r w:rsidRPr="009C2EF2">
        <w:rPr>
          <w:rFonts w:ascii="Times New Roman" w:hAnsi="Times New Roman"/>
          <w:color w:val="231F20"/>
          <w:spacing w:val="-2"/>
          <w:sz w:val="24"/>
          <w:szCs w:val="24"/>
          <w:lang w:val="az-Latn-AZ"/>
        </w:rPr>
        <w:t xml:space="preserve">bağlı əməliyyat </w:t>
      </w:r>
      <w:r w:rsidRPr="009C2EF2">
        <w:rPr>
          <w:rFonts w:ascii="Times New Roman" w:hAnsi="Times New Roman"/>
          <w:color w:val="231F20"/>
          <w:spacing w:val="-2"/>
          <w:sz w:val="24"/>
          <w:szCs w:val="24"/>
          <w:lang w:val="az-Latn-AZ"/>
        </w:rPr>
        <w:lastRenderedPageBreak/>
        <w:t xml:space="preserve">lizinqinin, maliyyə lizinqinin və ya kreditin və ya digər təminatlı kreditin olub olmamasını müəyyən etməlidir (müştəri və/ və ya məsləhətçilər ilə birlikdə). Bununla bağlı əldə olunan nəticə və </w:t>
      </w:r>
      <w:r w:rsidRPr="009C2EF2">
        <w:rPr>
          <w:rFonts w:ascii="Times New Roman" w:hAnsi="Times New Roman"/>
          <w:i/>
          <w:color w:val="231F20"/>
          <w:spacing w:val="1"/>
          <w:sz w:val="24"/>
          <w:szCs w:val="24"/>
          <w:lang w:val="az-Latn-AZ"/>
        </w:rPr>
        <w:t>qiymətləndirmənin məqsədi</w:t>
      </w:r>
      <w:r w:rsidRPr="009C2EF2">
        <w:rPr>
          <w:rFonts w:ascii="Times New Roman" w:hAnsi="Times New Roman"/>
          <w:color w:val="231F20"/>
          <w:spacing w:val="-2"/>
          <w:sz w:val="24"/>
          <w:szCs w:val="24"/>
          <w:lang w:val="az-Latn-AZ"/>
        </w:rPr>
        <w:t xml:space="preserve"> müvafiq baza və qiymətləndirmə metodologiyasın</w:t>
      </w:r>
      <w:r w:rsidR="00CF60BC" w:rsidRPr="009C2EF2">
        <w:rPr>
          <w:rFonts w:ascii="Times New Roman" w:hAnsi="Times New Roman"/>
          <w:color w:val="231F20"/>
          <w:spacing w:val="-2"/>
          <w:sz w:val="24"/>
          <w:szCs w:val="24"/>
          <w:lang w:val="az-Latn-AZ"/>
        </w:rPr>
        <w:t>ı</w:t>
      </w:r>
      <w:r w:rsidRPr="009C2EF2">
        <w:rPr>
          <w:rFonts w:ascii="Times New Roman" w:hAnsi="Times New Roman"/>
          <w:color w:val="231F20"/>
          <w:spacing w:val="-2"/>
          <w:sz w:val="24"/>
          <w:szCs w:val="24"/>
          <w:lang w:val="az-Latn-AZ"/>
        </w:rPr>
        <w:t xml:space="preserve"> ifadə edəcək.</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80</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8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8624" behindDoc="1" locked="0" layoutInCell="0" allowOverlap="1">
                <wp:simplePos x="0" y="0"/>
                <wp:positionH relativeFrom="page">
                  <wp:posOffset>5183505</wp:posOffset>
                </wp:positionH>
                <wp:positionV relativeFrom="page">
                  <wp:posOffset>0</wp:posOffset>
                </wp:positionV>
                <wp:extent cx="431800" cy="8423910"/>
                <wp:effectExtent l="0" t="0" r="0" b="0"/>
                <wp:wrapNone/>
                <wp:docPr id="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88B0C9" id="Freeform 179" o:spid="_x0000_s1026" style="position:absolute;margin-left:408.15pt;margin-top:0;width:34pt;height:663.3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6sP8i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F60BC">
      <w:pPr>
        <w:pStyle w:val="a3"/>
        <w:kinsoku w:val="0"/>
        <w:overflowPunct w:val="0"/>
        <w:spacing w:before="79"/>
        <w:ind w:left="2878" w:right="3150"/>
        <w:jc w:val="center"/>
        <w:rPr>
          <w:rFonts w:ascii="Times New Roman" w:hAnsi="Times New Roman"/>
          <w:color w:val="000000"/>
          <w:sz w:val="24"/>
          <w:szCs w:val="24"/>
          <w:lang w:val="az-Latn-AZ"/>
        </w:rPr>
      </w:pPr>
      <w:bookmarkStart w:id="12" w:name="bookmark11"/>
      <w:bookmarkEnd w:id="12"/>
      <w:r w:rsidRPr="009C2EF2">
        <w:rPr>
          <w:rFonts w:ascii="Times New Roman" w:hAnsi="Times New Roman"/>
          <w:i/>
          <w:color w:val="231F20"/>
          <w:sz w:val="24"/>
          <w:szCs w:val="24"/>
          <w:lang w:val="az-Latn-AZ"/>
        </w:rPr>
        <w:t>Aktiv üzrə Standartlar</w:t>
      </w:r>
    </w:p>
    <w:p w:rsidR="00D02DD9" w:rsidRPr="009C2EF2" w:rsidRDefault="003C64E0">
      <w:pPr>
        <w:pStyle w:val="Heading21"/>
        <w:kinsoku w:val="0"/>
        <w:overflowPunct w:val="0"/>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w:t>
      </w:r>
      <w:r w:rsidR="00CF60BC" w:rsidRPr="009C2EF2">
        <w:rPr>
          <w:rFonts w:ascii="Times New Roman" w:hAnsi="Times New Roman"/>
          <w:color w:val="231F20"/>
          <w:spacing w:val="-1"/>
          <w:szCs w:val="24"/>
          <w:lang w:val="az-Latn-AZ"/>
        </w:rPr>
        <w:t xml:space="preserve"> 400 Daşınmaz Əmlak üzrə İştirak</w:t>
      </w:r>
      <w:r w:rsidRPr="009C2EF2">
        <w:rPr>
          <w:rFonts w:ascii="Times New Roman" w:hAnsi="Times New Roman"/>
          <w:color w:val="231F20"/>
          <w:spacing w:val="-1"/>
          <w:szCs w:val="24"/>
          <w:lang w:val="az-Latn-AZ"/>
        </w:rPr>
        <w:t xml:space="preserve"> Payları</w:t>
      </w:r>
    </w:p>
    <w:tbl>
      <w:tblPr>
        <w:tblW w:w="0" w:type="auto"/>
        <w:tblInd w:w="114" w:type="dxa"/>
        <w:tblLayout w:type="fixed"/>
        <w:tblCellMar>
          <w:left w:w="0" w:type="dxa"/>
          <w:right w:w="0" w:type="dxa"/>
        </w:tblCellMar>
        <w:tblLook w:val="04A0" w:firstRow="1" w:lastRow="0" w:firstColumn="1" w:lastColumn="0" w:noHBand="0" w:noVBand="1"/>
      </w:tblPr>
      <w:tblGrid>
        <w:gridCol w:w="4894"/>
        <w:gridCol w:w="1852"/>
      </w:tblGrid>
      <w:tr w:rsidR="00D02DD9" w:rsidRPr="009C2EF2">
        <w:trPr>
          <w:trHeight w:hRule="exact" w:val="801"/>
        </w:trPr>
        <w:tc>
          <w:tcPr>
            <w:tcW w:w="4894"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852"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Daşınmaz əmlak üzrə maraqlar ilə bağlı xüsusi mülahizələr</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273"/>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Maraqların iyerarxiyası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w w:val="95"/>
                <w:sz w:val="24"/>
                <w:szCs w:val="24"/>
                <w:lang w:val="az-Latn-AZ"/>
              </w:rPr>
              <w:t>90</w:t>
            </w:r>
          </w:p>
        </w:tc>
      </w:tr>
      <w:tr w:rsidR="00D02DD9" w:rsidRPr="009C2EF2">
        <w:trPr>
          <w:trHeight w:hRule="exact" w:val="462"/>
        </w:trPr>
        <w:tc>
          <w:tcPr>
            <w:tcW w:w="4894"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İcarə haqqı</w:t>
            </w:r>
          </w:p>
        </w:tc>
        <w:tc>
          <w:tcPr>
            <w:tcW w:w="1852"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z w:val="24"/>
                <w:szCs w:val="24"/>
                <w:lang w:val="az-Latn-AZ"/>
              </w:rPr>
              <w:t>100</w:t>
            </w:r>
          </w:p>
        </w:tc>
      </w:tr>
    </w:tbl>
    <w:p w:rsidR="00D02DD9" w:rsidRPr="009C2EF2" w:rsidRDefault="00D02DD9">
      <w:pPr>
        <w:pStyle w:val="a3"/>
        <w:kinsoku w:val="0"/>
        <w:overflowPunct w:val="0"/>
        <w:spacing w:before="4"/>
        <w:ind w:left="0"/>
        <w:rPr>
          <w:rFonts w:ascii="Times New Roman" w:hAnsi="Times New Roman"/>
          <w:b/>
          <w:sz w:val="24"/>
          <w:szCs w:val="24"/>
          <w:lang w:val="az-Latn-AZ"/>
        </w:rPr>
      </w:pPr>
    </w:p>
    <w:p w:rsidR="00D02DD9" w:rsidRPr="009C2EF2" w:rsidRDefault="0075026C">
      <w:pPr>
        <w:pStyle w:val="Heading41"/>
        <w:numPr>
          <w:ilvl w:val="0"/>
          <w:numId w:val="36"/>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19840" behindDoc="0" locked="0" layoutInCell="0" allowOverlap="1">
                <wp:simplePos x="0" y="0"/>
                <wp:positionH relativeFrom="page">
                  <wp:posOffset>5276215</wp:posOffset>
                </wp:positionH>
                <wp:positionV relativeFrom="paragraph">
                  <wp:posOffset>-455295</wp:posOffset>
                </wp:positionV>
                <wp:extent cx="152400" cy="3108960"/>
                <wp:effectExtent l="0" t="0" r="0" b="0"/>
                <wp:wrapNone/>
                <wp:docPr id="8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19" type="#_x0000_t202" style="position:absolute;left:0;text-align:left;margin-left:415.45pt;margin-top:-35.85pt;width:12pt;height:244.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pacing w:val="2"/>
          <w:sz w:val="24"/>
          <w:szCs w:val="24"/>
          <w:lang w:val="az-Latn-AZ"/>
        </w:rPr>
        <w:t>İcmal</w:t>
      </w:r>
    </w:p>
    <w:p w:rsidR="00D02DD9" w:rsidRPr="009C2EF2" w:rsidRDefault="003C64E0">
      <w:pPr>
        <w:pStyle w:val="a3"/>
        <w:numPr>
          <w:ilvl w:val="1"/>
          <w:numId w:val="36"/>
        </w:numPr>
        <w:tabs>
          <w:tab w:val="left" w:pos="681"/>
        </w:tabs>
        <w:kinsoku w:val="0"/>
        <w:overflowPunct w:val="0"/>
        <w:spacing w:before="122" w:line="250" w:lineRule="auto"/>
        <w:ind w:left="680"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Standartlarda nəzərdə tutulan prinsiplər daşınmaz əmlak üzrə maraqların qiymətləndirilməsi ilə bağlı tətbiq olunur. Bu standart daşınmaz əmlak üzrə maraqların qiymətləndirilməsinə dair əlavə tələbləri özündə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35"/>
        </w:numPr>
        <w:tabs>
          <w:tab w:val="left" w:pos="681"/>
        </w:tabs>
        <w:kinsoku w:val="0"/>
        <w:overflowPunct w:val="0"/>
        <w:spacing w:before="122" w:line="250" w:lineRule="auto"/>
        <w:ind w:left="680" w:right="1054"/>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Əmlak üzrə maraqlar, əsasən, dövlət və ya ayrı-ayrı </w:t>
      </w:r>
      <w:r w:rsidRPr="009C2EF2">
        <w:rPr>
          <w:rFonts w:ascii="Times New Roman" w:hAnsi="Times New Roman"/>
          <w:i/>
          <w:color w:val="231F20"/>
          <w:sz w:val="24"/>
          <w:szCs w:val="24"/>
          <w:lang w:val="az-Latn-AZ"/>
        </w:rPr>
        <w:t xml:space="preserve">yurisdiksiyaların </w:t>
      </w:r>
      <w:r w:rsidRPr="009C2EF2">
        <w:rPr>
          <w:rFonts w:ascii="Times New Roman" w:hAnsi="Times New Roman"/>
          <w:color w:val="231F20"/>
          <w:spacing w:val="2"/>
          <w:sz w:val="24"/>
          <w:szCs w:val="24"/>
          <w:lang w:val="az-Latn-AZ"/>
        </w:rPr>
        <w:t xml:space="preserve">qanunları, bir çox hallarda isə milli və ya yerli qanunvericilik ilə müəyyən olunur. Daşınmaz əmlak üzrə marağın qiymətləndirilməsini aparmazdan öncə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2"/>
          <w:sz w:val="24"/>
          <w:szCs w:val="24"/>
          <w:lang w:val="az-Latn-AZ"/>
        </w:rPr>
        <w:t>qiymətləndirilən maraqla bağlı tətbiq olunan müvafiq hüquqi əsasları bilməlidir.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 torpaq və tikililər ilə bağlı sahibkarlıq, sərəncam, istifadə və ya mülkiyyət hüququdur. Marağın üç əsas növü var: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965"/>
        </w:tabs>
        <w:kinsoku w:val="0"/>
        <w:overflowPunct w:val="0"/>
        <w:spacing w:line="250" w:lineRule="auto"/>
        <w:ind w:left="964"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 torpaq sahəsi üzrə üstün maraq  Bu marağın sahibi ikinci dərəcəli maraqlar və qanuni və ya digər hüquqi məhdudiyyətlər nəzərə alınmaqla torpaq və onun üzərindəki tikili ilə bağlı mütləq mülkiyyət və sərəncam hüququna malikdir. </w:t>
      </w:r>
    </w:p>
    <w:p w:rsidR="00D02DD9" w:rsidRPr="009C2EF2" w:rsidRDefault="003C64E0">
      <w:pPr>
        <w:pStyle w:val="a3"/>
        <w:numPr>
          <w:ilvl w:val="2"/>
          <w:numId w:val="35"/>
        </w:numPr>
        <w:tabs>
          <w:tab w:val="left" w:pos="965"/>
        </w:tabs>
        <w:kinsoku w:val="0"/>
        <w:overflowPunct w:val="0"/>
        <w:spacing w:line="250" w:lineRule="auto"/>
        <w:ind w:left="964" w:right="1205"/>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əmlak sa</w:t>
      </w:r>
      <w:r w:rsidR="00C11094" w:rsidRPr="009C2EF2">
        <w:rPr>
          <w:rFonts w:ascii="Times New Roman" w:hAnsi="Times New Roman"/>
          <w:color w:val="231F20"/>
          <w:sz w:val="24"/>
          <w:szCs w:val="24"/>
          <w:lang w:val="az-Latn-AZ"/>
        </w:rPr>
        <w:t>hibinə müəyyən müd</w:t>
      </w:r>
      <w:r w:rsidRPr="009C2EF2">
        <w:rPr>
          <w:rFonts w:ascii="Times New Roman" w:hAnsi="Times New Roman"/>
          <w:color w:val="231F20"/>
          <w:sz w:val="24"/>
          <w:szCs w:val="24"/>
          <w:lang w:val="az-Latn-AZ"/>
        </w:rPr>
        <w:t>dət ərzində, məsələn, icarə müqaviləsinin şərtlərinə uyğun olaraq torpaq sahəsi və ya tikililər ilə bağlı müstəsna mülkiyyət və sərəncam hüquqları verən ikinci dərəcəli hüquqlar və/ və ya</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müstəsna mülkiyyət və ya sərəncam hüquqları istisna olmaqla torpaq və ya tikililərdən istifadə etmək hüququ, məsələn, torpağı vermək və ya ondan yalnız  müəyyən bir fəaliyyət üçün istifadə etmək hüququ.</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681"/>
        </w:tabs>
        <w:kinsoku w:val="0"/>
        <w:overflowPunct w:val="0"/>
        <w:spacing w:line="250" w:lineRule="auto"/>
        <w:ind w:left="680" w:right="110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daşınmaz əmlak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təsnifatı xaricində qalır. Lakin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daşınmaz əmlak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dəyəri ilə əlaqəli ola və ona ciddi şəkildə təsir edə bilər. Ona görə də, işin əhatə dairəsi çərçivəsində qiymətləndirmə tapşırığının nəyi əhatə edib etməyəcəyini dəqiqliklə müəyyən etmək zəruri əhəmiyyət kəsb edir. Məsələn, hotelin qiymətləndirilməsi hotelin markası ilə tam şəkildə əlaqəli ola bilər. Belə hallarda, qiymətləndirmə prosesində qeyri-maddi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 xml:space="preserve">daxil edilməsi və onların  daşınmaz əmlak,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a3"/>
        <w:kinsoku w:val="0"/>
        <w:overflowPunct w:val="0"/>
        <w:spacing w:before="80"/>
        <w:ind w:left="2874" w:right="3725"/>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81</w:t>
      </w:r>
    </w:p>
    <w:p w:rsidR="00D02DD9" w:rsidRPr="009C2EF2" w:rsidRDefault="00D02DD9">
      <w:pPr>
        <w:pStyle w:val="a3"/>
        <w:kinsoku w:val="0"/>
        <w:overflowPunct w:val="0"/>
        <w:spacing w:before="80"/>
        <w:ind w:left="2874" w:right="3725"/>
        <w:jc w:val="center"/>
        <w:rPr>
          <w:rFonts w:ascii="Times New Roman" w:hAnsi="Times New Roman"/>
          <w:color w:val="000000"/>
          <w:sz w:val="24"/>
          <w:szCs w:val="24"/>
          <w:lang w:val="az-Latn-AZ"/>
        </w:rPr>
        <w:sectPr w:rsidR="00D02DD9" w:rsidRPr="009C2EF2">
          <w:footerReference w:type="default" r:id="rId8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39648" behindDoc="1" locked="0" layoutInCell="0" allowOverlap="1">
                <wp:simplePos x="0" y="0"/>
                <wp:positionH relativeFrom="page">
                  <wp:posOffset>0</wp:posOffset>
                </wp:positionH>
                <wp:positionV relativeFrom="page">
                  <wp:posOffset>0</wp:posOffset>
                </wp:positionV>
                <wp:extent cx="432435" cy="8424545"/>
                <wp:effectExtent l="0" t="0" r="0" b="0"/>
                <wp:wrapNone/>
                <wp:docPr id="8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5BDD53" id="Freeform 181" o:spid="_x0000_s1026" style="position:absolute;margin-left:0;margin-top:0;width:34.05pt;height:663.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aQpPcGQDAACF&#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kinsoku w:val="0"/>
        <w:overflowPunct w:val="0"/>
        <w:spacing w:before="77"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istehsalat vasitələri, maşın və avadanlıq </w:t>
      </w:r>
      <w:r w:rsidRPr="009C2EF2">
        <w:rPr>
          <w:rFonts w:ascii="Times New Roman" w:hAnsi="Times New Roman"/>
          <w:i/>
          <w:color w:val="231F20"/>
          <w:spacing w:val="-1"/>
          <w:sz w:val="24"/>
          <w:szCs w:val="24"/>
          <w:lang w:val="az-Latn-AZ"/>
        </w:rPr>
        <w:t xml:space="preserve">aktivlərinin </w:t>
      </w:r>
      <w:r w:rsidRPr="009C2EF2">
        <w:rPr>
          <w:rFonts w:ascii="Times New Roman" w:hAnsi="Times New Roman"/>
          <w:color w:val="231F20"/>
          <w:sz w:val="24"/>
          <w:szCs w:val="24"/>
          <w:lang w:val="az-Latn-AZ"/>
        </w:rPr>
        <w:t xml:space="preserve">qiymətləndirilməsinə təsiri nəzərə alınacaq. Bir qeyri-maddi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komponenti olduqda </w:t>
      </w:r>
      <w:r w:rsidRPr="009C2EF2">
        <w:rPr>
          <w:rFonts w:ascii="Times New Roman" w:hAnsi="Times New Roman"/>
          <w:i/>
          <w:color w:val="231F20"/>
          <w:sz w:val="24"/>
          <w:szCs w:val="24"/>
          <w:lang w:val="az-Latn-AZ"/>
        </w:rPr>
        <w:t>qiymətləndirici</w:t>
      </w:r>
      <w:r w:rsidRPr="009C2EF2">
        <w:rPr>
          <w:rFonts w:ascii="Times New Roman" w:hAnsi="Times New Roman"/>
          <w:color w:val="231F20"/>
          <w:sz w:val="24"/>
          <w:szCs w:val="24"/>
          <w:lang w:val="az-Latn-AZ"/>
        </w:rPr>
        <w:t xml:space="preserve">, həmçinin, BQS 210 Qeyri-maddi </w:t>
      </w:r>
      <w:r w:rsidRPr="009C2EF2">
        <w:rPr>
          <w:rFonts w:ascii="Times New Roman" w:hAnsi="Times New Roman"/>
          <w:i/>
          <w:color w:val="231F20"/>
          <w:spacing w:val="-1"/>
          <w:sz w:val="24"/>
          <w:szCs w:val="24"/>
          <w:lang w:val="az-Latn-AZ"/>
        </w:rPr>
        <w:t>Aktivlər</w:t>
      </w:r>
      <w:r w:rsidRPr="009C2EF2">
        <w:rPr>
          <w:rFonts w:ascii="Times New Roman" w:hAnsi="Times New Roman"/>
          <w:color w:val="231F20"/>
          <w:sz w:val="24"/>
          <w:szCs w:val="24"/>
          <w:lang w:val="az-Latn-AZ"/>
        </w:rPr>
        <w:t xml:space="preserve"> bölməsinə əməl etməlidir.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Daşınmaz əmlak üzrə marağın bu növlərini təsvir etmək üçün müxtəlif </w:t>
      </w:r>
      <w:r w:rsidRPr="009C2EF2">
        <w:rPr>
          <w:rFonts w:ascii="Times New Roman" w:hAnsi="Times New Roman"/>
          <w:i/>
          <w:color w:val="231F20"/>
          <w:sz w:val="24"/>
          <w:szCs w:val="24"/>
          <w:lang w:val="az-Latn-AZ"/>
        </w:rPr>
        <w:t xml:space="preserve">yurisdiksiyalarda </w:t>
      </w:r>
      <w:r w:rsidRPr="009C2EF2">
        <w:rPr>
          <w:rFonts w:ascii="Times New Roman" w:hAnsi="Times New Roman"/>
          <w:color w:val="231F20"/>
          <w:spacing w:val="1"/>
          <w:sz w:val="24"/>
          <w:szCs w:val="24"/>
          <w:lang w:val="az-Latn-AZ"/>
        </w:rPr>
        <w:t xml:space="preserve">fərqli söz və terminlərin istifadə olunmasına baxmayaraq əksər hallarda mütləq mülkiyyət hüququ, məhdud müddət üzrə </w:t>
      </w:r>
    </w:p>
    <w:p w:rsidR="00D02DD9" w:rsidRPr="009C2EF2" w:rsidRDefault="003C64E0">
      <w:pPr>
        <w:pStyle w:val="a3"/>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müstəsna maraq və ya müəyyən </w:t>
      </w:r>
      <w:r w:rsidRPr="009C2EF2">
        <w:rPr>
          <w:rFonts w:ascii="Times New Roman" w:hAnsi="Times New Roman"/>
          <w:i/>
          <w:color w:val="231F20"/>
          <w:spacing w:val="1"/>
          <w:sz w:val="24"/>
          <w:szCs w:val="24"/>
          <w:lang w:val="az-Latn-AZ"/>
        </w:rPr>
        <w:t xml:space="preserve">məqsəd </w:t>
      </w:r>
      <w:r w:rsidRPr="009C2EF2">
        <w:rPr>
          <w:rFonts w:ascii="Times New Roman" w:hAnsi="Times New Roman"/>
          <w:color w:val="231F20"/>
          <w:sz w:val="24"/>
          <w:szCs w:val="24"/>
          <w:lang w:val="az-Latn-AZ"/>
        </w:rPr>
        <w:t>üzrə qeyri-müstəsna hüquq konsepsiyaları tətbiq olunur. Torpaq və tikililərin daşınmazlığı konsepsiyası fiziki torpaq və tikililəri deyil, müəyyən bir tərəfin sahib olduğu və başqa birisinə ötürə biləcəyi hüququ ifadə edir.  Buna görə də, dəyər fiziki torpaq və tikililərə deyil, hüquqi marağa şamil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1531"/>
        </w:tabs>
        <w:kinsoku w:val="0"/>
        <w:overflowPunct w:val="0"/>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BQS 101 İşin Əhatə dairəsi bölməsinin 20.3 (d) bəndində  qiymətləndirilən </w:t>
      </w:r>
      <w:r w:rsidRPr="009C2EF2">
        <w:rPr>
          <w:rFonts w:ascii="Times New Roman" w:hAnsi="Times New Roman"/>
          <w:i/>
          <w:color w:val="231F20"/>
          <w:sz w:val="24"/>
          <w:szCs w:val="24"/>
          <w:lang w:val="az-Latn-AZ"/>
        </w:rPr>
        <w:t xml:space="preserve">aktivi </w:t>
      </w:r>
      <w:r w:rsidRPr="009C2EF2">
        <w:rPr>
          <w:rFonts w:ascii="Times New Roman" w:hAnsi="Times New Roman"/>
          <w:color w:val="231F20"/>
          <w:spacing w:val="-8"/>
          <w:sz w:val="24"/>
          <w:szCs w:val="24"/>
          <w:lang w:val="az-Latn-AZ"/>
        </w:rPr>
        <w:t xml:space="preserve">müəyyən </w:t>
      </w:r>
    </w:p>
    <w:p w:rsidR="00D02DD9" w:rsidRPr="009C2EF2" w:rsidRDefault="003C64E0">
      <w:pPr>
        <w:pStyle w:val="a3"/>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Etməklə bağlı şərtlərə əməl etmək üçün aşağıdakı məsələlərə </w:t>
      </w:r>
      <w:r w:rsidRPr="009C2EF2">
        <w:rPr>
          <w:rFonts w:ascii="Times New Roman" w:hAnsi="Times New Roman"/>
          <w:i/>
          <w:color w:val="231F20"/>
          <w:spacing w:val="1"/>
          <w:sz w:val="24"/>
          <w:szCs w:val="24"/>
          <w:lang w:val="az-Latn-AZ"/>
        </w:rPr>
        <w:t xml:space="preserve">nəzərə </w:t>
      </w:r>
      <w:r w:rsidRPr="009C2EF2">
        <w:rPr>
          <w:rFonts w:ascii="Times New Roman" w:hAnsi="Times New Roman"/>
          <w:i/>
          <w:color w:val="231F20"/>
          <w:sz w:val="24"/>
          <w:szCs w:val="24"/>
          <w:lang w:val="az-Latn-AZ"/>
        </w:rPr>
        <w:t>alınmalıdır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pPr>
        <w:pStyle w:val="a3"/>
        <w:numPr>
          <w:ilvl w:val="2"/>
          <w:numId w:val="35"/>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20864" behindDoc="0" locked="0" layoutInCell="0" allowOverlap="1">
                <wp:simplePos x="0" y="0"/>
                <wp:positionH relativeFrom="page">
                  <wp:posOffset>151130</wp:posOffset>
                </wp:positionH>
                <wp:positionV relativeFrom="paragraph">
                  <wp:posOffset>34290</wp:posOffset>
                </wp:positionV>
                <wp:extent cx="152400" cy="3108960"/>
                <wp:effectExtent l="0" t="0" r="0" b="0"/>
                <wp:wrapNone/>
                <wp:docPr id="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0" type="#_x0000_t202" style="position:absolute;left:0;text-align:left;margin-left:11.9pt;margin-top:2.7pt;width:12pt;height:244.8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ID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z w:val="24"/>
          <w:szCs w:val="24"/>
          <w:lang w:val="az-Latn-AZ"/>
        </w:rPr>
        <w:t xml:space="preserve">qiymətləndirilməli olan daşınmaz əmlak üzrə marağın təsviri və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164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qiymətləndirilən dəyərə təsir göstərən üstün və ya ikinci dərəcəli maraqların müəyyənləşdirilməsi.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 xml:space="preserve">BQS 101 </w:t>
      </w:r>
      <w:r w:rsidRPr="009C2EF2">
        <w:rPr>
          <w:rFonts w:ascii="Times New Roman" w:hAnsi="Times New Roman"/>
          <w:i/>
          <w:color w:val="231F20"/>
          <w:spacing w:val="1"/>
          <w:sz w:val="24"/>
          <w:szCs w:val="24"/>
          <w:lang w:val="az-Latn-AZ"/>
        </w:rPr>
        <w:t xml:space="preserve">İşin Əhatə dairəsi </w:t>
      </w:r>
      <w:r w:rsidRPr="009C2EF2">
        <w:rPr>
          <w:rFonts w:ascii="Times New Roman" w:hAnsi="Times New Roman"/>
          <w:color w:val="231F20"/>
          <w:spacing w:val="-8"/>
          <w:sz w:val="24"/>
          <w:szCs w:val="24"/>
          <w:lang w:val="az-Latn-AZ"/>
        </w:rPr>
        <w:t>bölməsinin 20.3 (j) bəndində və BQS 102 Araşdırmalar və Uyğunluq bölməsində nəzərdə tutulan araşdırmanın əhatə dairəsini və informasiyanın xarakterini və mənbəyini göstərmək ilə bağlı tələblərə əməl etmək üçün aşağıdakılar</w:t>
      </w:r>
      <w:r w:rsidRPr="009C2EF2">
        <w:rPr>
          <w:rFonts w:ascii="Times New Roman" w:hAnsi="Times New Roman"/>
          <w:i/>
          <w:color w:val="231F20"/>
          <w:sz w:val="24"/>
          <w:szCs w:val="24"/>
          <w:lang w:val="az-Latn-AZ"/>
        </w:rPr>
        <w:t xml:space="preserve"> nəzərə alınmalıdır</w:t>
      </w:r>
      <w:r w:rsidRPr="009C2EF2">
        <w:rPr>
          <w:rFonts w:ascii="Times New Roman" w:hAnsi="Times New Roman"/>
          <w:color w:val="231F20"/>
          <w:spacing w:val="-8"/>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1168"/>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marağı və digər müvafiq maraqları təsdiqləmək üçün tələb olunan sübut,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araşdırmanın əhatə dairəsi,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2098"/>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tikinti obyekti və tikilinin ümumi sahəsi ilə bağlı məlumat üzrə məsuliyyət,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2098"/>
        <w:rPr>
          <w:rFonts w:ascii="Times New Roman" w:hAnsi="Times New Roman"/>
          <w:color w:val="000000"/>
          <w:sz w:val="24"/>
          <w:szCs w:val="24"/>
          <w:lang w:val="az-Latn-AZ"/>
        </w:rPr>
      </w:pPr>
      <w:r w:rsidRPr="009C2EF2">
        <w:rPr>
          <w:rFonts w:ascii="Times New Roman" w:hAnsi="Times New Roman"/>
          <w:color w:val="231F20"/>
          <w:sz w:val="24"/>
          <w:szCs w:val="24"/>
          <w:lang w:val="az-Latn-AZ"/>
        </w:rPr>
        <w:t>hər hansı tikiliyə dair spesifikasiya və şərtləri təsdiqləmək ilə bağlı məsuliyyət,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t>araşdırmanın xidmətlərin xüsusiyyətləri, spesifik</w:t>
      </w:r>
      <w:r w:rsidR="00CF60BC" w:rsidRPr="009C2EF2">
        <w:rPr>
          <w:rFonts w:ascii="Times New Roman" w:hAnsi="Times New Roman"/>
          <w:color w:val="231F20"/>
          <w:sz w:val="24"/>
          <w:szCs w:val="24"/>
          <w:lang w:val="az-Latn-AZ"/>
        </w:rPr>
        <w:t>a</w:t>
      </w:r>
      <w:r w:rsidRPr="009C2EF2">
        <w:rPr>
          <w:rFonts w:ascii="Times New Roman" w:hAnsi="Times New Roman"/>
          <w:color w:val="231F20"/>
          <w:sz w:val="24"/>
          <w:szCs w:val="24"/>
          <w:lang w:val="az-Latn-AZ"/>
        </w:rPr>
        <w:t>siyası və uyğunluğu ilə bağlı əhatə dairəsi,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torpaq və bünövrənin vəziyyəti ilə bağlı məlumatın təmin olunması,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2641"/>
        <w:rPr>
          <w:rFonts w:ascii="Times New Roman" w:hAnsi="Times New Roman"/>
          <w:color w:val="000000"/>
          <w:sz w:val="24"/>
          <w:szCs w:val="24"/>
          <w:lang w:val="az-Latn-AZ"/>
        </w:rPr>
      </w:pPr>
      <w:r w:rsidRPr="009C2EF2">
        <w:rPr>
          <w:rFonts w:ascii="Times New Roman" w:hAnsi="Times New Roman"/>
          <w:color w:val="231F20"/>
          <w:sz w:val="24"/>
          <w:szCs w:val="24"/>
          <w:lang w:val="az-Latn-AZ"/>
        </w:rPr>
        <w:t>ətraf-mühit üzrə faktiki və ya potensial risklərin müəyyən edilməsi ilə bağlı məsuliyyət,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5"/>
        </w:numPr>
        <w:tabs>
          <w:tab w:val="left" w:pos="1815"/>
        </w:tabs>
        <w:kinsoku w:val="0"/>
        <w:overflowPunct w:val="0"/>
        <w:spacing w:line="250" w:lineRule="auto"/>
        <w:ind w:left="1814" w:right="1646"/>
        <w:rPr>
          <w:rFonts w:ascii="Times New Roman" w:hAnsi="Times New Roman"/>
          <w:color w:val="000000"/>
          <w:sz w:val="24"/>
          <w:szCs w:val="24"/>
          <w:lang w:val="az-Latn-AZ"/>
        </w:rPr>
      </w:pPr>
      <w:r w:rsidRPr="009C2EF2">
        <w:rPr>
          <w:rFonts w:ascii="Times New Roman" w:hAnsi="Times New Roman"/>
          <w:color w:val="231F20"/>
          <w:sz w:val="24"/>
          <w:szCs w:val="24"/>
          <w:lang w:val="az-Latn-AZ"/>
        </w:rPr>
        <w:t>əmlak və tikililərin istifadəsinə dair qanuni icazələr və ya məhdudiyyətlər, habelə qanuni icazə və məhdudiyyətlərə gözlənilən və potensial dəyişikliklər.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5"/>
        </w:numPr>
        <w:tabs>
          <w:tab w:val="left" w:pos="1531"/>
        </w:tabs>
        <w:kinsoku w:val="0"/>
        <w:overflowPunct w:val="0"/>
        <w:spacing w:line="250" w:lineRule="auto"/>
        <w:ind w:right="146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BQS 101 </w:t>
      </w:r>
      <w:r w:rsidRPr="009C2EF2">
        <w:rPr>
          <w:rFonts w:ascii="Times New Roman" w:hAnsi="Times New Roman"/>
          <w:i/>
          <w:color w:val="231F20"/>
          <w:spacing w:val="1"/>
          <w:sz w:val="24"/>
          <w:szCs w:val="24"/>
          <w:lang w:val="az-Latn-AZ"/>
        </w:rPr>
        <w:t xml:space="preserve">İşin Əhatə dairəsi </w:t>
      </w:r>
      <w:r w:rsidRPr="009C2EF2">
        <w:rPr>
          <w:rFonts w:ascii="Times New Roman" w:hAnsi="Times New Roman"/>
          <w:color w:val="231F20"/>
          <w:spacing w:val="-1"/>
          <w:sz w:val="24"/>
          <w:szCs w:val="24"/>
          <w:lang w:val="az-Latn-AZ"/>
        </w:rPr>
        <w:t xml:space="preserve">bölməsinin 20.3 (k) bəndinə əməl etmək üçün razılaşdırılmalı və təsdiqlənməli </w:t>
      </w:r>
      <w:r w:rsidRPr="009C2EF2">
        <w:rPr>
          <w:rFonts w:ascii="Times New Roman" w:hAnsi="Times New Roman"/>
          <w:i/>
          <w:color w:val="231F20"/>
          <w:spacing w:val="-1"/>
          <w:sz w:val="24"/>
          <w:szCs w:val="24"/>
          <w:lang w:val="az-Latn-AZ"/>
        </w:rPr>
        <w:t xml:space="preserve">olan </w:t>
      </w:r>
      <w:r w:rsidRPr="009C2EF2">
        <w:rPr>
          <w:rFonts w:ascii="Times New Roman" w:hAnsi="Times New Roman"/>
          <w:color w:val="231F20"/>
          <w:spacing w:val="-1"/>
          <w:sz w:val="24"/>
          <w:szCs w:val="24"/>
          <w:lang w:val="az-Latn-AZ"/>
        </w:rPr>
        <w:t xml:space="preserve">xüsusi ehtimallara aşağıdakılar </w:t>
      </w:r>
    </w:p>
    <w:p w:rsidR="00D02DD9" w:rsidRPr="009C2EF2" w:rsidRDefault="003C64E0">
      <w:pPr>
        <w:pStyle w:val="a3"/>
        <w:kinsoku w:val="0"/>
        <w:overflowPunct w:val="0"/>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daxildir: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0"/>
          <w:numId w:val="34"/>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tarixində müəyyən fiziki dəyişikliyin baş verməsi, məsələn, nəzərdə tutulan tikilinin qiymətləndirmə tarixində başa çatmış olması,</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1"/>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82</w:t>
      </w:r>
    </w:p>
    <w:p w:rsidR="00D02DD9" w:rsidRPr="009C2EF2" w:rsidRDefault="00D02DD9">
      <w:pPr>
        <w:pStyle w:val="a3"/>
        <w:kinsoku w:val="0"/>
        <w:overflowPunct w:val="0"/>
        <w:spacing w:before="80"/>
        <w:ind w:left="4185" w:right="4351"/>
        <w:jc w:val="center"/>
        <w:rPr>
          <w:rFonts w:ascii="Times New Roman" w:hAnsi="Times New Roman"/>
          <w:color w:val="000000"/>
          <w:sz w:val="24"/>
          <w:szCs w:val="24"/>
          <w:lang w:val="az-Latn-AZ"/>
        </w:rPr>
        <w:sectPr w:rsidR="00D02DD9" w:rsidRPr="009C2EF2">
          <w:footerReference w:type="default" r:id="rId8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0672" behindDoc="1" locked="0" layoutInCell="0" allowOverlap="1">
                <wp:simplePos x="0" y="0"/>
                <wp:positionH relativeFrom="page">
                  <wp:posOffset>5183505</wp:posOffset>
                </wp:positionH>
                <wp:positionV relativeFrom="page">
                  <wp:posOffset>0</wp:posOffset>
                </wp:positionV>
                <wp:extent cx="431800" cy="8423910"/>
                <wp:effectExtent l="0" t="0" r="0" b="0"/>
                <wp:wrapNone/>
                <wp:docPr id="8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2D214B" id="Freeform 183" o:spid="_x0000_s1026" style="position:absolute;margin-left:408.15pt;margin-top:0;width:34pt;height:663.3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9Zdw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BRxF9Z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F60BC">
      <w:pPr>
        <w:pStyle w:val="a3"/>
        <w:kinsoku w:val="0"/>
        <w:overflowPunct w:val="0"/>
        <w:spacing w:before="79"/>
        <w:ind w:left="2878" w:right="279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0"/>
          <w:numId w:val="34"/>
        </w:numPr>
        <w:tabs>
          <w:tab w:val="left" w:pos="965"/>
        </w:tabs>
        <w:kinsoku w:val="0"/>
        <w:overflowPunct w:val="0"/>
        <w:spacing w:before="77"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əmlakın vəziyyətində dəyişikliyin olub olmaması, məsələn, qiymətləndirilmə tarixində boş tikilinin icarə verilmiş olması və ya icarəyə verilmiş tikilinin boş olması,</w:t>
      </w:r>
    </w:p>
    <w:p w:rsidR="00D02DD9" w:rsidRPr="009C2EF2" w:rsidRDefault="003C64E0">
      <w:pPr>
        <w:pStyle w:val="a3"/>
        <w:numPr>
          <w:ilvl w:val="0"/>
          <w:numId w:val="34"/>
        </w:numPr>
        <w:tabs>
          <w:tab w:val="left" w:pos="965"/>
        </w:tabs>
        <w:kinsoku w:val="0"/>
        <w:overflowPunct w:val="0"/>
        <w:spacing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marağın digər mövcud maraqlar nəzərə alınmadan qiymətləndirilməsi və</w:t>
      </w:r>
    </w:p>
    <w:p w:rsidR="00D02DD9" w:rsidRPr="009C2EF2" w:rsidRDefault="003C64E0">
      <w:pPr>
        <w:pStyle w:val="a3"/>
        <w:numPr>
          <w:ilvl w:val="0"/>
          <w:numId w:val="34"/>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əmlakın çirklənmə və digər ətraf-mühit riskləri daşımaması.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35"/>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Daşınmaz əmlak üzrə maraqların qiymətləndirilməsi, əsasən, təminatlı kredit, satış və satınalma, vergiqoyma, məhkəmə prosesi, kompensasiya, müflisləşmə ilə bağlı məsələlər və maliyyə hesabatı kimi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 xml:space="preserve">ilə bağlı tələb olunur.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3"/>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75026C">
      <w:pPr>
        <w:pStyle w:val="a3"/>
        <w:numPr>
          <w:ilvl w:val="1"/>
          <w:numId w:val="33"/>
        </w:numPr>
        <w:tabs>
          <w:tab w:val="left" w:pos="681"/>
        </w:tabs>
        <w:kinsoku w:val="0"/>
        <w:overflowPunct w:val="0"/>
        <w:spacing w:before="122" w:line="250" w:lineRule="auto"/>
        <w:ind w:left="680" w:right="1643"/>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21888" behindDoc="0" locked="0" layoutInCell="0" allowOverlap="1">
                <wp:simplePos x="0" y="0"/>
                <wp:positionH relativeFrom="page">
                  <wp:posOffset>5276215</wp:posOffset>
                </wp:positionH>
                <wp:positionV relativeFrom="paragraph">
                  <wp:posOffset>343535</wp:posOffset>
                </wp:positionV>
                <wp:extent cx="152400" cy="3108960"/>
                <wp:effectExtent l="0" t="0" r="0" b="0"/>
                <wp:wrapNone/>
                <wp:docPr id="8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1" type="#_x0000_t202" style="position:absolute;left:0;text-align:left;margin-left:415.45pt;margin-top:27.05pt;width:12pt;height:244.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z w:val="24"/>
          <w:szCs w:val="24"/>
          <w:lang w:val="az-Latn-AZ"/>
        </w:rPr>
        <w:t xml:space="preserve">BQS 104 Dəyər Bazaları bölməsində qeyd olunur ki, </w:t>
      </w:r>
      <w:r w:rsidR="003C64E0" w:rsidRPr="009C2EF2">
        <w:rPr>
          <w:rFonts w:ascii="Times New Roman" w:hAnsi="Times New Roman"/>
          <w:i/>
          <w:color w:val="231F20"/>
          <w:sz w:val="24"/>
          <w:szCs w:val="24"/>
          <w:lang w:val="az-Latn-AZ"/>
        </w:rPr>
        <w:t xml:space="preserve">qiymətləndirici </w:t>
      </w:r>
      <w:r w:rsidR="003C64E0" w:rsidRPr="009C2EF2">
        <w:rPr>
          <w:rFonts w:ascii="Times New Roman" w:hAnsi="Times New Roman"/>
          <w:color w:val="231F20"/>
          <w:sz w:val="24"/>
          <w:szCs w:val="24"/>
          <w:lang w:val="az-Latn-AZ"/>
        </w:rPr>
        <w:t>daşınmaz əmlak üzrə maraqları qiymətləndirərkən müvafiq dəyər bazası (bazaları) seçməlidir.</w:t>
      </w:r>
    </w:p>
    <w:p w:rsidR="00D02DD9" w:rsidRPr="009C2EF2" w:rsidRDefault="003C64E0">
      <w:pPr>
        <w:pStyle w:val="a3"/>
        <w:numPr>
          <w:ilvl w:val="1"/>
          <w:numId w:val="33"/>
        </w:numPr>
        <w:tabs>
          <w:tab w:val="left" w:pos="681"/>
        </w:tabs>
        <w:kinsoku w:val="0"/>
        <w:overflowPunct w:val="0"/>
        <w:spacing w:line="250" w:lineRule="auto"/>
        <w:ind w:left="680" w:right="118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Əksər dəyər bazalarına uyğun olaraq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daşınmaz əmlakdan ən yaxşı və ən səmərəli istifadəni (onun cari istifadəsindən </w:t>
      </w:r>
      <w:r w:rsidRPr="009C2EF2">
        <w:rPr>
          <w:rFonts w:ascii="Times New Roman" w:hAnsi="Times New Roman"/>
          <w:i/>
          <w:color w:val="231F20"/>
          <w:spacing w:val="-1"/>
          <w:sz w:val="24"/>
          <w:szCs w:val="24"/>
          <w:lang w:val="az-Latn-AZ"/>
        </w:rPr>
        <w:t>fərqli ola bilən</w:t>
      </w:r>
      <w:r w:rsidRPr="009C2EF2">
        <w:rPr>
          <w:rFonts w:ascii="Times New Roman" w:hAnsi="Times New Roman"/>
          <w:color w:val="231F20"/>
          <w:sz w:val="24"/>
          <w:szCs w:val="24"/>
          <w:lang w:val="az-Latn-AZ"/>
        </w:rPr>
        <w:t xml:space="preserve">) nəzərə almalıdır (bax: BQS </w:t>
      </w:r>
    </w:p>
    <w:p w:rsidR="00D02DD9" w:rsidRPr="009C2EF2" w:rsidRDefault="003C64E0">
      <w:pPr>
        <w:pStyle w:val="a3"/>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104 Dəyər Bazaları, 30.3-cü bənd). Bu qiymətləndirmə bir istifadə növündən digərinə keçid edən zaman dəyişən və ya inkişaf potensialına malik olan daşınmaz əmlak üzrə maraqlar üçün xüsusilə əhəmiyyətlidir.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2"/>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3C64E0">
      <w:pPr>
        <w:pStyle w:val="a3"/>
        <w:numPr>
          <w:ilvl w:val="1"/>
          <w:numId w:val="32"/>
        </w:numPr>
        <w:tabs>
          <w:tab w:val="left" w:pos="681"/>
        </w:tabs>
        <w:kinsoku w:val="0"/>
        <w:overflowPunct w:val="0"/>
        <w:spacing w:before="122"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Daşınmaz əmlak üzrə marağı qiymətləndirərkən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bölməsində göstərilən hər üç qiymətləndirmə yanaşması tətbiq oluna bilər.</w:t>
      </w:r>
    </w:p>
    <w:p w:rsidR="00D02DD9" w:rsidRPr="009C2EF2" w:rsidRDefault="003C64E0">
      <w:pPr>
        <w:pStyle w:val="a3"/>
        <w:numPr>
          <w:ilvl w:val="1"/>
          <w:numId w:val="32"/>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standartın tələblərinə əlavə olaraq yanaşma və üsul seçərkən qiymətləndirici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pacing w:val="1"/>
          <w:sz w:val="24"/>
          <w:szCs w:val="24"/>
          <w:lang w:val="az-Latn-AZ"/>
        </w:rPr>
        <w:t xml:space="preserve"> bölməsinin, həmçinin, 10.3 və 10.4-cü bəndlərinin şərtlərini </w:t>
      </w:r>
      <w:r w:rsidRPr="009C2EF2">
        <w:rPr>
          <w:rFonts w:ascii="Times New Roman" w:hAnsi="Times New Roman"/>
          <w:i/>
          <w:color w:val="231F20"/>
          <w:sz w:val="24"/>
          <w:szCs w:val="24"/>
          <w:lang w:val="az-Latn-AZ"/>
        </w:rPr>
        <w:t>nəzərə almalıdır.</w:t>
      </w:r>
    </w:p>
    <w:p w:rsidR="00D02DD9" w:rsidRPr="009C2EF2" w:rsidRDefault="003C64E0">
      <w:pPr>
        <w:pStyle w:val="Heading41"/>
        <w:numPr>
          <w:ilvl w:val="0"/>
          <w:numId w:val="31"/>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3C64E0">
      <w:pPr>
        <w:pStyle w:val="a3"/>
        <w:numPr>
          <w:ilvl w:val="1"/>
          <w:numId w:val="31"/>
        </w:numPr>
        <w:tabs>
          <w:tab w:val="left" w:pos="681"/>
        </w:tabs>
        <w:kinsoku w:val="0"/>
        <w:overflowPunct w:val="0"/>
        <w:spacing w:before="122" w:line="250" w:lineRule="auto"/>
        <w:ind w:left="680" w:right="1185"/>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Ümumiyyətlə əmlak üzrə maraqlar müxtəlifdir (yəni, fərqli xüsusiyyətlərə malikdir). Torpaq və tikililər bazarda satılan </w:t>
      </w:r>
      <w:r w:rsidRPr="009C2EF2">
        <w:rPr>
          <w:rFonts w:ascii="Times New Roman" w:hAnsi="Times New Roman"/>
          <w:color w:val="231F20"/>
          <w:spacing w:val="2"/>
          <w:sz w:val="24"/>
          <w:szCs w:val="24"/>
          <w:lang w:val="az-Latn-AZ"/>
        </w:rPr>
        <w:lastRenderedPageBreak/>
        <w:t>torpaq və tikililərlə eyni fiziki xüsusiyyətlərə malik olsa, onların yerləşdiyi ərazi fərqli olacaq.  Bu fərqli xüsusiyyətlərə baxmayaraq, daşınmaz əmlak üzrə maraqları qiymətləndirərkən əsasən bazar yanaşması tətbiq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1"/>
        </w:numPr>
        <w:tabs>
          <w:tab w:val="left" w:pos="681"/>
        </w:tabs>
        <w:kinsoku w:val="0"/>
        <w:overflowPunct w:val="0"/>
        <w:spacing w:line="250" w:lineRule="auto"/>
        <w:ind w:left="680"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Qiymətləndirmənin predmetini digər daşınmaz əmlak üzrə maraqların qiyməti ilə müqayisə etmək üçün qiymətləndiricilər qiymətləndirilən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növündən asılı olaraq </w:t>
      </w:r>
      <w:r w:rsidRPr="009C2EF2">
        <w:rPr>
          <w:rFonts w:ascii="Times New Roman" w:hAnsi="Times New Roman"/>
          <w:i/>
          <w:color w:val="231F20"/>
          <w:sz w:val="24"/>
          <w:szCs w:val="24"/>
          <w:lang w:val="az-Latn-AZ"/>
        </w:rPr>
        <w:t>iştirakçıların</w:t>
      </w:r>
      <w:r w:rsidRPr="009C2EF2">
        <w:rPr>
          <w:rFonts w:ascii="Times New Roman" w:hAnsi="Times New Roman"/>
          <w:color w:val="231F20"/>
          <w:sz w:val="24"/>
          <w:szCs w:val="24"/>
          <w:lang w:val="az-Latn-AZ"/>
        </w:rPr>
        <w:t xml:space="preserve"> tətbiq etdiyi və ümumilikdə qəbul edilmiş və müvafiq hesab olunan vahidlər </w:t>
      </w:r>
      <w:r w:rsidRPr="009C2EF2">
        <w:rPr>
          <w:rFonts w:ascii="Times New Roman" w:hAnsi="Times New Roman"/>
          <w:i/>
          <w:color w:val="231F20"/>
          <w:sz w:val="24"/>
          <w:szCs w:val="24"/>
          <w:lang w:val="az-Latn-AZ"/>
        </w:rPr>
        <w:t>müəyyən etməlidirlər</w:t>
      </w:r>
      <w:r w:rsidRPr="009C2EF2">
        <w:rPr>
          <w:rFonts w:ascii="Times New Roman" w:hAnsi="Times New Roman"/>
          <w:color w:val="231F20"/>
          <w:sz w:val="24"/>
          <w:szCs w:val="24"/>
          <w:lang w:val="az-Latn-AZ"/>
        </w:rPr>
        <w:t>. Geniş şəkildə istifadə olunan müqayisə vahidlərinə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1"/>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tikilinin bir kvadrat metri ( və ya kvadrat futu) üçün və ya bir hektar torpaq üçün qiymət,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bir otağın qiyməti və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3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hasilatın bir vahidi üçün qiymət.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31"/>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Müqayisə vahidi yalnız lazımi qaydada seçildiyi və müvafiq aktiv və hər bir təhlil prosesində müqayisə edilə bilən əmlaklar ilə bağlı tətbiq olunduğu halda faydalı hesab edilir.  Mümkün olduğu qədər istifadə olunan müqayisə vahidi müvafiq bazarda </w:t>
      </w: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 xml:space="preserve">tərəfindən ən çox istifadə edilən müqayisə vahidi </w:t>
      </w:r>
      <w:r w:rsidRPr="009C2EF2">
        <w:rPr>
          <w:rFonts w:ascii="Times New Roman" w:hAnsi="Times New Roman"/>
          <w:i/>
          <w:color w:val="231F20"/>
          <w:spacing w:val="1"/>
          <w:sz w:val="24"/>
          <w:szCs w:val="24"/>
          <w:lang w:val="az-Latn-AZ"/>
        </w:rPr>
        <w:t>olmalıdır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83</w:t>
      </w:r>
    </w:p>
    <w:p w:rsidR="00D02DD9" w:rsidRPr="009C2EF2" w:rsidRDefault="00D02DD9">
      <w:pPr>
        <w:pStyle w:val="a3"/>
        <w:kinsoku w:val="0"/>
        <w:overflowPunct w:val="0"/>
        <w:spacing w:before="80"/>
        <w:ind w:left="2878" w:right="3722"/>
        <w:jc w:val="center"/>
        <w:rPr>
          <w:rFonts w:ascii="Times New Roman" w:hAnsi="Times New Roman"/>
          <w:color w:val="000000"/>
          <w:sz w:val="24"/>
          <w:szCs w:val="24"/>
          <w:lang w:val="az-Latn-AZ"/>
        </w:rPr>
        <w:sectPr w:rsidR="00D02DD9" w:rsidRPr="009C2EF2">
          <w:footerReference w:type="default" r:id="rId8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1696" behindDoc="1" locked="0" layoutInCell="0" allowOverlap="1">
                <wp:simplePos x="0" y="0"/>
                <wp:positionH relativeFrom="page">
                  <wp:posOffset>0</wp:posOffset>
                </wp:positionH>
                <wp:positionV relativeFrom="page">
                  <wp:posOffset>0</wp:posOffset>
                </wp:positionV>
                <wp:extent cx="432435" cy="8424545"/>
                <wp:effectExtent l="0" t="0" r="0" b="0"/>
                <wp:wrapNone/>
                <wp:docPr id="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72D6B2" id="Freeform 185" o:spid="_x0000_s1026" style="position:absolute;margin-left:0;margin-top:0;width:34.05pt;height:663.3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DoP6GN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CF60BC">
      <w:pPr>
        <w:pStyle w:val="a3"/>
        <w:tabs>
          <w:tab w:val="left" w:pos="5580"/>
        </w:tabs>
        <w:kinsoku w:val="0"/>
        <w:overflowPunct w:val="0"/>
        <w:spacing w:before="80"/>
        <w:ind w:left="3125" w:right="228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CF60BC">
      <w:pPr>
        <w:pStyle w:val="a3"/>
        <w:numPr>
          <w:ilvl w:val="1"/>
          <w:numId w:val="31"/>
        </w:numPr>
        <w:tabs>
          <w:tab w:val="left" w:pos="1531"/>
        </w:tabs>
        <w:kinsoku w:val="0"/>
        <w:overflowPunct w:val="0"/>
        <w:spacing w:before="77" w:line="250" w:lineRule="auto"/>
        <w:ind w:right="124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prosesində  müqayisə edilə bilən qiymətlə bağlı məlumatların tətbiq olunma imkanı qiymətləndirilən əmlak ilə birlikdə məlumatların əldə olunduğu əmlak və əməliyyatın müxtəlif xüsusiyyətlərini müqayisə etməklə müəyyən edilir. Aşağıda </w:t>
      </w:r>
      <w:r w:rsidR="00CF60BC" w:rsidRPr="009C2EF2">
        <w:rPr>
          <w:rFonts w:ascii="Times New Roman" w:hAnsi="Times New Roman"/>
          <w:color w:val="231F20"/>
          <w:sz w:val="24"/>
          <w:szCs w:val="24"/>
          <w:lang w:val="az-Latn-AZ"/>
        </w:rPr>
        <w:t>qeyd</w:t>
      </w:r>
      <w:r w:rsidRPr="009C2EF2">
        <w:rPr>
          <w:rFonts w:ascii="Times New Roman" w:hAnsi="Times New Roman"/>
          <w:color w:val="231F20"/>
          <w:sz w:val="24"/>
          <w:szCs w:val="24"/>
          <w:lang w:val="az-Latn-AZ"/>
        </w:rPr>
        <w:t xml:space="preserve"> olunanlar arasındakı fərqlər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bölməsinin 30.8-ci bəndinə müvafiq olaraq n</w:t>
      </w:r>
      <w:r w:rsidRPr="009C2EF2">
        <w:rPr>
          <w:rFonts w:ascii="Times New Roman" w:hAnsi="Times New Roman"/>
          <w:i/>
          <w:color w:val="231F20"/>
          <w:spacing w:val="1"/>
          <w:sz w:val="24"/>
          <w:szCs w:val="24"/>
          <w:lang w:val="az-Latn-AZ"/>
        </w:rPr>
        <w:t>əzərə alınmalıdır.</w:t>
      </w:r>
      <w:r w:rsidRPr="009C2EF2">
        <w:rPr>
          <w:rFonts w:ascii="Times New Roman" w:hAnsi="Times New Roman"/>
          <w:color w:val="231F20"/>
          <w:sz w:val="24"/>
          <w:szCs w:val="24"/>
          <w:lang w:val="az-Latn-AZ"/>
        </w:rPr>
        <w:t xml:space="preserve"> Daşınmaz əmlak üzrə maraqları qiymətləndirərkən nəzərə alınmalı olan xüsusi fərqlərə </w:t>
      </w:r>
      <w:r w:rsidRPr="009C2EF2">
        <w:rPr>
          <w:rFonts w:ascii="Times New Roman" w:hAnsi="Times New Roman"/>
          <w:i/>
          <w:color w:val="231F20"/>
          <w:spacing w:val="1"/>
          <w:sz w:val="24"/>
          <w:szCs w:val="24"/>
          <w:lang w:val="az-Latn-AZ"/>
        </w:rPr>
        <w:t>aşağıdakılar daxildir</w:t>
      </w:r>
      <w:r w:rsidRPr="009C2EF2">
        <w:rPr>
          <w:rFonts w:ascii="Times New Roman" w:hAnsi="Times New Roman"/>
          <w:color w:val="231F20"/>
          <w:sz w:val="24"/>
          <w:szCs w:val="24"/>
          <w:lang w:val="az-Latn-AZ"/>
        </w:rPr>
        <w:t>:</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spacing w:line="250" w:lineRule="auto"/>
        <w:ind w:left="1814" w:right="13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 bağlı məlumatları əks etdirən marağın növü və qiymətləndirilən marağın növünü,</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müvafiq yerlər,</w:t>
      </w:r>
    </w:p>
    <w:p w:rsidR="00D02DD9" w:rsidRPr="009C2EF2" w:rsidRDefault="00D02DD9" w:rsidP="00CF60BC">
      <w:pPr>
        <w:pStyle w:val="a3"/>
        <w:kinsoku w:val="0"/>
        <w:overflowPunct w:val="0"/>
        <w:spacing w:before="7"/>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spacing w:line="250" w:lineRule="auto"/>
        <w:ind w:left="1814" w:right="212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torpağın müvafiq keyfiyyəti və ya tikililərin istismar olunduğu müddət və onlara dair spesifikasiyalar,</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75026C" w:rsidP="00CF60BC">
      <w:pPr>
        <w:pStyle w:val="a3"/>
        <w:numPr>
          <w:ilvl w:val="2"/>
          <w:numId w:val="31"/>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22912" behindDoc="0" locked="0" layoutInCell="0" allowOverlap="1">
                <wp:simplePos x="0" y="0"/>
                <wp:positionH relativeFrom="page">
                  <wp:posOffset>151130</wp:posOffset>
                </wp:positionH>
                <wp:positionV relativeFrom="paragraph">
                  <wp:posOffset>63500</wp:posOffset>
                </wp:positionV>
                <wp:extent cx="152400" cy="3108960"/>
                <wp:effectExtent l="0" t="0" r="0" b="0"/>
                <wp:wrapNone/>
                <wp:docPr id="8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2" type="#_x0000_t202" style="position:absolute;left:0;text-align:left;margin-left:11.9pt;margin-top:5pt;width:12pt;height:244.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jDsg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z w:val="24"/>
          <w:szCs w:val="24"/>
          <w:lang w:val="az-Latn-AZ"/>
        </w:rPr>
        <w:t>hər bir əmlak üzrə məqsədyönlü istifadə və planlaşdırma,</w:t>
      </w:r>
    </w:p>
    <w:p w:rsidR="00D02DD9" w:rsidRPr="009C2EF2" w:rsidRDefault="00D02DD9" w:rsidP="00CF60BC">
      <w:pPr>
        <w:pStyle w:val="a3"/>
        <w:kinsoku w:val="0"/>
        <w:overflowPunct w:val="0"/>
        <w:spacing w:before="7"/>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spacing w:line="250" w:lineRule="auto"/>
        <w:ind w:left="1814" w:right="1326"/>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qiymətin və tələb olunan dəyər bazasının müəyyən olunduğu şərtlər,</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 bağlı məlumatların qüvvəyə mindiyi tarix və qiymətləndirmə tarixi,</w:t>
      </w:r>
    </w:p>
    <w:p w:rsidR="00D02DD9" w:rsidRPr="009C2EF2" w:rsidRDefault="00D02DD9" w:rsidP="00CF60BC">
      <w:pPr>
        <w:pStyle w:val="a3"/>
        <w:kinsoku w:val="0"/>
        <w:overflowPunct w:val="0"/>
        <w:spacing w:before="7"/>
        <w:ind w:left="0"/>
        <w:jc w:val="both"/>
        <w:rPr>
          <w:rFonts w:ascii="Times New Roman" w:hAnsi="Times New Roman"/>
          <w:sz w:val="24"/>
          <w:szCs w:val="24"/>
          <w:lang w:val="az-Latn-AZ"/>
        </w:rPr>
      </w:pPr>
    </w:p>
    <w:p w:rsidR="00D02DD9" w:rsidRPr="009C2EF2" w:rsidRDefault="003C64E0" w:rsidP="00CF60BC">
      <w:pPr>
        <w:pStyle w:val="a3"/>
        <w:numPr>
          <w:ilvl w:val="2"/>
          <w:numId w:val="31"/>
        </w:numPr>
        <w:tabs>
          <w:tab w:val="left" w:pos="1815"/>
        </w:tabs>
        <w:kinsoku w:val="0"/>
        <w:overflowPunct w:val="0"/>
        <w:spacing w:line="250" w:lineRule="auto"/>
        <w:ind w:left="1814" w:right="136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müvafiq əməliyyatların həyata keçirildiyi müddətdə mövcud olan bazar şəraiti və bu şəraitlə qiymətləndirmə tarixindəki şərait arasındakı fərqlər.</w:t>
      </w:r>
    </w:p>
    <w:p w:rsidR="00D02DD9" w:rsidRPr="009C2EF2" w:rsidRDefault="003C64E0" w:rsidP="00CF60BC">
      <w:pPr>
        <w:pStyle w:val="Heading41"/>
        <w:numPr>
          <w:ilvl w:val="0"/>
          <w:numId w:val="30"/>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D02DD9" w:rsidP="00CF60BC">
      <w:pPr>
        <w:pStyle w:val="a3"/>
        <w:kinsoku w:val="0"/>
        <w:overflowPunct w:val="0"/>
        <w:spacing w:before="7"/>
        <w:ind w:left="0"/>
        <w:jc w:val="both"/>
        <w:rPr>
          <w:rFonts w:ascii="Times New Roman" w:hAnsi="Times New Roman"/>
          <w:b/>
          <w:sz w:val="24"/>
          <w:szCs w:val="24"/>
          <w:lang w:val="az-Latn-AZ"/>
        </w:rPr>
      </w:pPr>
    </w:p>
    <w:p w:rsidR="00D02DD9" w:rsidRPr="009C2EF2" w:rsidRDefault="003C64E0" w:rsidP="00CF60BC">
      <w:pPr>
        <w:pStyle w:val="a3"/>
        <w:numPr>
          <w:ilvl w:val="1"/>
          <w:numId w:val="30"/>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Dəyəri gəlir yanaşması ilə göstərmək üçün fərqli üsullardan istifadə olunur. Bu üsulların hamısı dəyərin maraq sahibinin yaratdığı və ya yarada biləcəyi faktiki və ya proqnozlaşdırılan gəlirə əsaslanması fikrini əks etdirir.  İnvestisiya əmlakı ilə bağlı olaraq, həmin gəlir icarə haqqı formasında ola bilər (bax: 90.1-90.3-cü bəndlər); yaşayış üçün nəzərdə tutulan tikilidə bu gəlir </w:t>
      </w:r>
      <w:r w:rsidRPr="009C2EF2">
        <w:rPr>
          <w:rFonts w:ascii="Times New Roman" w:hAnsi="Times New Roman"/>
          <w:color w:val="231F20"/>
          <w:spacing w:val="-1"/>
          <w:sz w:val="24"/>
          <w:szCs w:val="24"/>
          <w:lang w:val="az-Latn-AZ"/>
        </w:rPr>
        <w:lastRenderedPageBreak/>
        <w:t>ekvivalent sahəni icarəyə götürmək üçün icarəçinin ödədiyi məbləğə əsaslanmaqla ehtimal edilən icarə haqqı ola bilər.</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3C64E0" w:rsidP="00CF60BC">
      <w:pPr>
        <w:pStyle w:val="a3"/>
        <w:numPr>
          <w:ilvl w:val="1"/>
          <w:numId w:val="30"/>
        </w:numPr>
        <w:tabs>
          <w:tab w:val="left" w:pos="1531"/>
        </w:tabs>
        <w:kinsoku w:val="0"/>
        <w:overflowPunct w:val="0"/>
        <w:spacing w:line="250" w:lineRule="auto"/>
        <w:ind w:right="1243"/>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Daşınmaz əmlak üzrə bəzi maraqlara gəlincə, əmlakın gəlir gətirmə qabiliyyəti onun xüsusi məqsədlə istifadəsi və ya işgüzar/ kommersiya fəaliyyəti (məsələn, hotellər, qolf meydançaları və s.) ilə sıx şəkildə əlaqəlidir.   Tikili kommersiya fəaliyyətinin yalnız müəyyən bir növü üçün əlverişli olduqda gəlir, əsasən, həmin tikilinin sahibinin kommersiya fəaliyyətindən əldə etdiyi faktiki və ya potensial pul axınları ilə bağlı olur. Əmlakın dəyərini göstərmək üçün onun kommersiya potensialından istifadə bir çox hallarda "mənfəət metodu" adlanır.</w:t>
      </w:r>
    </w:p>
    <w:p w:rsidR="00D02DD9" w:rsidRPr="009C2EF2" w:rsidRDefault="00D02DD9" w:rsidP="00CF60BC">
      <w:pPr>
        <w:pStyle w:val="a3"/>
        <w:kinsoku w:val="0"/>
        <w:overflowPunct w:val="0"/>
        <w:spacing w:before="9"/>
        <w:ind w:left="0"/>
        <w:jc w:val="both"/>
        <w:rPr>
          <w:rFonts w:ascii="Times New Roman" w:hAnsi="Times New Roman"/>
          <w:sz w:val="24"/>
          <w:szCs w:val="24"/>
          <w:lang w:val="az-Latn-AZ"/>
        </w:rPr>
      </w:pPr>
    </w:p>
    <w:p w:rsidR="00D02DD9" w:rsidRPr="009C2EF2" w:rsidRDefault="003C64E0" w:rsidP="00CF60BC">
      <w:pPr>
        <w:pStyle w:val="a3"/>
        <w:numPr>
          <w:ilvl w:val="1"/>
          <w:numId w:val="30"/>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Gəlir yanaşmasında istifadə olunan işgüzar/ kommersiya fəaliyyətindən əldə olunan pul axınını (icarə haqqı, texniki xidmət və daşınmaz əmlaka xas digər xərcləri ilə bağlı pul axınlarını deyil) əks etdirdikdə, </w:t>
      </w:r>
      <w:r w:rsidRPr="009C2EF2">
        <w:rPr>
          <w:rFonts w:ascii="Times New Roman" w:hAnsi="Times New Roman"/>
          <w:i/>
          <w:color w:val="231F20"/>
          <w:sz w:val="24"/>
          <w:szCs w:val="24"/>
          <w:lang w:val="az-Latn-AZ"/>
        </w:rPr>
        <w:t>qiymətləndirici</w:t>
      </w:r>
      <w:r w:rsidRPr="009C2EF2">
        <w:rPr>
          <w:rFonts w:ascii="Times New Roman" w:hAnsi="Times New Roman"/>
          <w:color w:val="231F20"/>
          <w:spacing w:val="1"/>
          <w:sz w:val="24"/>
          <w:szCs w:val="24"/>
          <w:lang w:val="az-Latn-AZ"/>
        </w:rPr>
        <w:t>, həmçinin,</w:t>
      </w:r>
      <w:r w:rsidR="00CF60BC"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BQS 200 Müəssisə və müəssisənin iştirak payı bölməsinin və müvafiq olduqda BQS 210 </w:t>
      </w:r>
      <w:r w:rsidRPr="009C2EF2">
        <w:rPr>
          <w:rFonts w:ascii="Times New Roman" w:hAnsi="Times New Roman"/>
          <w:i/>
          <w:color w:val="231F20"/>
          <w:spacing w:val="-1"/>
          <w:sz w:val="24"/>
          <w:szCs w:val="24"/>
          <w:lang w:val="az-Latn-AZ"/>
        </w:rPr>
        <w:t xml:space="preserve">Qeyri-maddi Aktivlər </w:t>
      </w:r>
      <w:r w:rsidRPr="009C2EF2">
        <w:rPr>
          <w:rFonts w:ascii="Times New Roman" w:hAnsi="Times New Roman"/>
          <w:color w:val="231F20"/>
          <w:sz w:val="24"/>
          <w:szCs w:val="24"/>
          <w:lang w:val="az-Latn-AZ"/>
        </w:rPr>
        <w:t>bölməsinin tələblərinə əməl etməlidir.</w:t>
      </w:r>
    </w:p>
    <w:p w:rsidR="00D02DD9" w:rsidRPr="009C2EF2" w:rsidRDefault="003C64E0" w:rsidP="00CF60BC">
      <w:pPr>
        <w:pStyle w:val="a3"/>
        <w:numPr>
          <w:ilvl w:val="1"/>
          <w:numId w:val="30"/>
        </w:numPr>
        <w:tabs>
          <w:tab w:val="left" w:pos="1531"/>
        </w:tabs>
        <w:kinsoku w:val="0"/>
        <w:overflowPunct w:val="0"/>
        <w:spacing w:line="250" w:lineRule="auto"/>
        <w:ind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Daşınmaz əmlak üzrə maraqlara gəlincə diskontlaşdırılmış pul axını modellərinin müxtəlif formalarından </w:t>
      </w:r>
      <w:r w:rsidRPr="009C2EF2">
        <w:rPr>
          <w:rFonts w:ascii="Times New Roman" w:hAnsi="Times New Roman"/>
          <w:i/>
          <w:color w:val="231F20"/>
          <w:spacing w:val="-1"/>
          <w:sz w:val="24"/>
          <w:szCs w:val="24"/>
          <w:lang w:val="az-Latn-AZ"/>
        </w:rPr>
        <w:t>istifadə oluna bilər</w:t>
      </w:r>
      <w:r w:rsidRPr="009C2EF2">
        <w:rPr>
          <w:rFonts w:ascii="Times New Roman" w:hAnsi="Times New Roman"/>
          <w:color w:val="231F20"/>
          <w:spacing w:val="-1"/>
          <w:sz w:val="24"/>
          <w:szCs w:val="24"/>
          <w:lang w:val="az-Latn-AZ"/>
        </w:rPr>
        <w:t>. Bunların arasında fərqlilik olsa da, diskont faiz dərəcəsini tətbiq etməklə müəyyən gələcək dövr üzrə pul axınlarının cari dəyərə uyğunlaşdırılması ilə bağlı ortaq xüsusiyyət daşıyırlar. Ayrı-ayrı dövrlər üzrə mövcud dəyərlərin yekun məbləği kapitalın dəyərinin smetasını əks etdirir. Diskontlaşdırılmış pul axını</w:t>
      </w:r>
      <w:r w:rsidR="00CF60BC"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modelində diskont faiz dərəcəsi pulun müvəqqəti xərclərinə və sözügedən gəlir axınının risklərinə və mükafatlarına əsaslanır.</w:t>
      </w: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84</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9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2720" behindDoc="1" locked="0" layoutInCell="0" allowOverlap="1">
                <wp:simplePos x="0" y="0"/>
                <wp:positionH relativeFrom="page">
                  <wp:posOffset>5183505</wp:posOffset>
                </wp:positionH>
                <wp:positionV relativeFrom="page">
                  <wp:posOffset>0</wp:posOffset>
                </wp:positionV>
                <wp:extent cx="431800" cy="8423910"/>
                <wp:effectExtent l="0" t="0" r="0" b="0"/>
                <wp:wrapNone/>
                <wp:docPr id="8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7359D1" id="Freeform 187" o:spid="_x0000_s1026" style="position:absolute;margin-left:408.15pt;margin-top:0;width:34pt;height:663.3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b0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Ch029H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F60BC">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30"/>
        </w:numPr>
        <w:tabs>
          <w:tab w:val="left" w:pos="681"/>
        </w:tabs>
        <w:kinsoku w:val="0"/>
        <w:overflowPunct w:val="0"/>
        <w:spacing w:before="77"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bölməsinin 50.29-50.31-ci bəndlərində diskont faiz dərəcələrinin  müəyyənləşdirilməsi barədə əlavə məlumatlar mövcuddur.  Diskont faiz dərəcəsi qiymətləndirmənin məqsədi əsasında</w:t>
      </w:r>
      <w:r w:rsidR="00CF60BC" w:rsidRPr="009C2EF2">
        <w:rPr>
          <w:rFonts w:ascii="Times New Roman" w:hAnsi="Times New Roman"/>
          <w:color w:val="231F20"/>
          <w:sz w:val="24"/>
          <w:szCs w:val="24"/>
          <w:lang w:val="az-Latn-AZ"/>
        </w:rPr>
        <w:t xml:space="preserve"> </w:t>
      </w:r>
      <w:r w:rsidRPr="009C2EF2">
        <w:rPr>
          <w:rFonts w:ascii="Times New Roman" w:hAnsi="Times New Roman"/>
          <w:i/>
          <w:color w:val="231F20"/>
          <w:spacing w:val="1"/>
          <w:sz w:val="24"/>
          <w:szCs w:val="24"/>
          <w:lang w:val="az-Latn-AZ"/>
        </w:rPr>
        <w:t>müəyyən edilməlidir</w:t>
      </w:r>
      <w:r w:rsidRPr="009C2EF2">
        <w:rPr>
          <w:rFonts w:ascii="Times New Roman" w:hAnsi="Times New Roman"/>
          <w:color w:val="231F20"/>
          <w:sz w:val="24"/>
          <w:szCs w:val="24"/>
          <w:lang w:val="az-Latn-AZ"/>
        </w:rPr>
        <w:t>. Məsələn:</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30"/>
        </w:numPr>
        <w:tabs>
          <w:tab w:val="left" w:pos="965"/>
        </w:tabs>
        <w:kinsoku w:val="0"/>
        <w:overflowPunct w:val="0"/>
        <w:spacing w:line="250" w:lineRule="auto"/>
        <w:ind w:left="964"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xüsusi və ya potensial sahibkarın investisiya meyarlarına əsaslanmaqla onlar üçün dəyəri müəyyən etmək məqsədi daşıdıqda, istifadə olunan faiz dərəcəsi tələb olunan gəlirlilik faizini və ya onların kapitalının orta </w:t>
      </w:r>
      <w:r w:rsidRPr="009C2EF2">
        <w:rPr>
          <w:rFonts w:ascii="Times New Roman" w:hAnsi="Times New Roman"/>
          <w:i/>
          <w:color w:val="231F20"/>
          <w:sz w:val="24"/>
          <w:szCs w:val="24"/>
          <w:lang w:val="az-Latn-AZ"/>
        </w:rPr>
        <w:t xml:space="preserve">çəki </w:t>
      </w:r>
      <w:r w:rsidRPr="009C2EF2">
        <w:rPr>
          <w:rFonts w:ascii="Times New Roman" w:hAnsi="Times New Roman"/>
          <w:color w:val="231F20"/>
          <w:sz w:val="24"/>
          <w:szCs w:val="24"/>
          <w:lang w:val="az-Latn-AZ"/>
        </w:rPr>
        <w:t xml:space="preserve">dəyərini </w:t>
      </w:r>
      <w:r w:rsidRPr="009C2EF2">
        <w:rPr>
          <w:rFonts w:ascii="Times New Roman" w:hAnsi="Times New Roman"/>
          <w:i/>
          <w:color w:val="231F20"/>
          <w:spacing w:val="-1"/>
          <w:sz w:val="24"/>
          <w:szCs w:val="24"/>
          <w:lang w:val="az-Latn-AZ"/>
        </w:rPr>
        <w:t>əks etdirə bilər</w:t>
      </w:r>
      <w:r w:rsidRPr="009C2EF2">
        <w:rPr>
          <w:rFonts w:ascii="Times New Roman" w:hAnsi="Times New Roman"/>
          <w:color w:val="231F20"/>
          <w:sz w:val="24"/>
          <w:szCs w:val="24"/>
          <w:lang w:val="az-Latn-AZ"/>
        </w:rPr>
        <w:t xml:space="preserve"> və</w:t>
      </w:r>
    </w:p>
    <w:p w:rsidR="00D02DD9" w:rsidRPr="009C2EF2" w:rsidRDefault="003C64E0">
      <w:pPr>
        <w:pStyle w:val="a3"/>
        <w:numPr>
          <w:ilvl w:val="2"/>
          <w:numId w:val="30"/>
        </w:numPr>
        <w:tabs>
          <w:tab w:val="left" w:pos="965"/>
        </w:tabs>
        <w:kinsoku w:val="0"/>
        <w:overflowPunct w:val="0"/>
        <w:spacing w:line="250" w:lineRule="auto"/>
        <w:ind w:left="964" w:right="139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bazar dəyərini müəyyən etmək məqsədi daşıdıqda diskont faiz dərəcəsi bazarda </w:t>
      </w:r>
      <w:r w:rsidRPr="009C2EF2">
        <w:rPr>
          <w:rFonts w:ascii="Times New Roman" w:hAnsi="Times New Roman"/>
          <w:i/>
          <w:color w:val="231F20"/>
          <w:spacing w:val="-1"/>
          <w:sz w:val="24"/>
          <w:szCs w:val="24"/>
          <w:lang w:val="az-Latn-AZ"/>
        </w:rPr>
        <w:t xml:space="preserve">iştirakçılar </w:t>
      </w:r>
      <w:r w:rsidRPr="009C2EF2">
        <w:rPr>
          <w:rFonts w:ascii="Times New Roman" w:hAnsi="Times New Roman"/>
          <w:color w:val="231F20"/>
          <w:sz w:val="24"/>
          <w:szCs w:val="24"/>
          <w:lang w:val="az-Latn-AZ"/>
        </w:rPr>
        <w:t xml:space="preserve">arasında mübadilə edilən </w:t>
      </w:r>
    </w:p>
    <w:p w:rsidR="00D02DD9" w:rsidRPr="009C2EF2" w:rsidRDefault="0075026C">
      <w:pPr>
        <w:pStyle w:val="a3"/>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23936" behindDoc="0" locked="0" layoutInCell="0" allowOverlap="1">
                <wp:simplePos x="0" y="0"/>
                <wp:positionH relativeFrom="page">
                  <wp:posOffset>5276215</wp:posOffset>
                </wp:positionH>
                <wp:positionV relativeFrom="paragraph">
                  <wp:posOffset>554355</wp:posOffset>
                </wp:positionV>
                <wp:extent cx="152400" cy="3108960"/>
                <wp:effectExtent l="0" t="0" r="0" b="0"/>
                <wp:wrapNone/>
                <wp:docPr id="8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23" type="#_x0000_t202" style="position:absolute;left:0;text-align:left;margin-left:415.45pt;margin-top:43.65pt;width:12pt;height:244.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z w:val="24"/>
          <w:szCs w:val="24"/>
          <w:lang w:val="az-Latn-AZ"/>
        </w:rPr>
        <w:t xml:space="preserve">daşınmaz əmlak üzrə maraqlar üçün ödənilmiş qiymətə daxil olan gəlirə və ya hipotetik </w:t>
      </w:r>
      <w:r w:rsidR="003C64E0" w:rsidRPr="009C2EF2">
        <w:rPr>
          <w:rFonts w:ascii="Times New Roman" w:hAnsi="Times New Roman"/>
          <w:i/>
          <w:color w:val="231F20"/>
          <w:sz w:val="24"/>
          <w:szCs w:val="24"/>
          <w:lang w:val="az-Latn-AZ"/>
        </w:rPr>
        <w:t xml:space="preserve">iştirakçıların </w:t>
      </w:r>
      <w:r w:rsidR="003C64E0" w:rsidRPr="009C2EF2">
        <w:rPr>
          <w:rFonts w:ascii="Times New Roman" w:hAnsi="Times New Roman"/>
          <w:color w:val="231F20"/>
          <w:sz w:val="24"/>
          <w:szCs w:val="24"/>
          <w:lang w:val="az-Latn-AZ"/>
        </w:rPr>
        <w:t xml:space="preserve">tələb olunan faiz dərəcələri və ya gəlirinə əsaslanmaqla </w:t>
      </w:r>
      <w:r w:rsidR="003C64E0" w:rsidRPr="009C2EF2">
        <w:rPr>
          <w:rFonts w:ascii="Times New Roman" w:hAnsi="Times New Roman"/>
          <w:i/>
          <w:color w:val="231F20"/>
          <w:spacing w:val="1"/>
          <w:sz w:val="24"/>
          <w:szCs w:val="24"/>
          <w:lang w:val="az-Latn-AZ"/>
        </w:rPr>
        <w:t>təyin oluna bilər.</w:t>
      </w:r>
      <w:r w:rsidR="003C64E0" w:rsidRPr="009C2EF2">
        <w:rPr>
          <w:rFonts w:ascii="Times New Roman" w:hAnsi="Times New Roman"/>
          <w:color w:val="231F20"/>
          <w:sz w:val="24"/>
          <w:szCs w:val="24"/>
          <w:lang w:val="az-Latn-AZ"/>
        </w:rPr>
        <w:t xml:space="preserve"> Diskont faiz dərəcəsi bazar əməliyyatlarının təhlilinə əsaslandıqda, qiymətləndiricilər, həmçinin, BQS 105 Qiymətləndirmə Yanaşmaları və Metodları bölməsinin 30.7 və 30.8.-ci bəndlərinin şərtlərini </w:t>
      </w:r>
      <w:r w:rsidR="003C64E0" w:rsidRPr="009C2EF2">
        <w:rPr>
          <w:rFonts w:ascii="Times New Roman" w:hAnsi="Times New Roman"/>
          <w:i/>
          <w:color w:val="231F20"/>
          <w:sz w:val="24"/>
          <w:szCs w:val="24"/>
          <w:lang w:val="az-Latn-AZ"/>
        </w:rPr>
        <w:t>nəzərə almalıdırlar.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30"/>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Müvafiq diskont faiz dərəcəsi həm də müəyyən daşınmaz əmlak üçün xas olan əlavə risklərə və imkanlara uyğunlaşdırılmış risk daşımayan gəlirə əsaslanmaqla </w:t>
      </w:r>
      <w:r w:rsidRPr="009C2EF2">
        <w:rPr>
          <w:rFonts w:ascii="Times New Roman" w:hAnsi="Times New Roman"/>
          <w:i/>
          <w:color w:val="231F20"/>
          <w:spacing w:val="-1"/>
          <w:sz w:val="24"/>
          <w:szCs w:val="24"/>
          <w:lang w:val="az-Latn-AZ"/>
        </w:rPr>
        <w:t>əldə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pPr>
        <w:pStyle w:val="a3"/>
        <w:numPr>
          <w:ilvl w:val="1"/>
          <w:numId w:val="29"/>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yanaşmasını tətbiq edərkən qiymətləndiricilər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bölməsinin 70.1 və 70.14.-cü bəndlərinin şərtlərini </w:t>
      </w:r>
      <w:r w:rsidRPr="009C2EF2">
        <w:rPr>
          <w:rFonts w:ascii="Times New Roman" w:hAnsi="Times New Roman"/>
          <w:i/>
          <w:color w:val="231F20"/>
          <w:sz w:val="24"/>
          <w:szCs w:val="24"/>
          <w:lang w:val="az-Latn-AZ"/>
        </w:rPr>
        <w:t>nəzərə almalıdırlar.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9"/>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Bu yanaşma ümumilikdə amortizasiya olunmuş əvəzlənmə dəyəri vasitəsilə daşınmaz əmlak üzrə maraqların qiymətləndirilməsi zamanı tətbiq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9"/>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Oxşar əmlak üzrə əməliyyat qiymətləri ilə bağlı heç bir faktiki məlumat və ya  müvafiq marağın sahibinin əldə edəcəyi heç </w:t>
      </w:r>
      <w:r w:rsidRPr="009C2EF2">
        <w:rPr>
          <w:rFonts w:ascii="Times New Roman" w:hAnsi="Times New Roman"/>
          <w:color w:val="231F20"/>
          <w:sz w:val="24"/>
          <w:szCs w:val="24"/>
          <w:lang w:val="az-Latn-AZ"/>
        </w:rPr>
        <w:lastRenderedPageBreak/>
        <w:t>bir müəyyən edilə bilən faktiki və ya proqnozlaşdırılan gəlir axını olmadıqda bu üsuldan</w:t>
      </w:r>
      <w:r w:rsidRPr="009C2EF2">
        <w:rPr>
          <w:rFonts w:ascii="Times New Roman" w:hAnsi="Times New Roman"/>
          <w:i/>
          <w:color w:val="231F20"/>
          <w:spacing w:val="-1"/>
          <w:sz w:val="24"/>
          <w:szCs w:val="24"/>
          <w:lang w:val="az-Latn-AZ"/>
        </w:rPr>
        <w:t xml:space="preserve"> istifadə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9"/>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hallarda, hətta bazar əməliyyatı qiymətləri ilə bağlı məlumatlar və ya müəyyən edilə bilən gəlir axını mövcud olduqda da, ikinci dərəcəli və ya əlavə üsul kimi xərc yanaşmasını </w:t>
      </w:r>
      <w:r w:rsidRPr="009C2EF2">
        <w:rPr>
          <w:rFonts w:ascii="Times New Roman" w:hAnsi="Times New Roman"/>
          <w:i/>
          <w:color w:val="231F20"/>
          <w:spacing w:val="-1"/>
          <w:sz w:val="24"/>
          <w:szCs w:val="24"/>
          <w:lang w:val="az-Latn-AZ"/>
        </w:rPr>
        <w:t>tətbiq etmək olar.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9"/>
        </w:numPr>
        <w:tabs>
          <w:tab w:val="left" w:pos="681"/>
        </w:tabs>
        <w:kinsoku w:val="0"/>
        <w:overflowPunct w:val="0"/>
        <w:spacing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İlk olaraq əvəzetmə xərcinin hesablanması tələb olunur. Bu, adətən, müvafiq qiymətləndirmə tarixində əmlakı müasir ekvivalenti ilə əvəzləmənin xərcidir. İştirakçını eyni faydalılıq ilə təmin etmək üçün qiymətləndirilən </w:t>
      </w:r>
    </w:p>
    <w:p w:rsidR="00D02DD9" w:rsidRPr="009C2EF2" w:rsidRDefault="003C64E0">
      <w:pPr>
        <w:pStyle w:val="a3"/>
        <w:kinsoku w:val="0"/>
        <w:overflowPunct w:val="0"/>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tikilini müasir ekvivalent ilə əvəzləmək </w:t>
      </w:r>
      <w:r w:rsidRPr="009C2EF2">
        <w:rPr>
          <w:rFonts w:ascii="Times New Roman" w:hAnsi="Times New Roman"/>
          <w:i/>
          <w:color w:val="231F20"/>
          <w:spacing w:val="1"/>
          <w:sz w:val="24"/>
          <w:szCs w:val="24"/>
          <w:lang w:val="az-Latn-AZ"/>
        </w:rPr>
        <w:t>yerinə</w:t>
      </w:r>
      <w:r w:rsidRPr="009C2EF2">
        <w:rPr>
          <w:rFonts w:ascii="Times New Roman" w:hAnsi="Times New Roman"/>
          <w:color w:val="231F20"/>
          <w:sz w:val="24"/>
          <w:szCs w:val="24"/>
          <w:lang w:val="az-Latn-AZ"/>
        </w:rPr>
        <w:t xml:space="preserve"> əvəzetmə xərcinin</w:t>
      </w:r>
    </w:p>
    <w:p w:rsidR="00D02DD9" w:rsidRPr="009C2EF2" w:rsidRDefault="003C64E0">
      <w:pPr>
        <w:pStyle w:val="a3"/>
        <w:kinsoku w:val="0"/>
        <w:overflowPunct w:val="0"/>
        <w:spacing w:before="9"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 təkrar istehsal və ya həmin tikiliyə bənzər tikilinin yaradılmasından ibarət olduğu qiymətləndirilən əmlakla tam şəkildə oxşar olan ekvivalentin tələb olunması istisnalıq təşkil edir.  Əvəzetmə xərci torpağın dəyərini, infrastruktur, dizayn xərcləri və ekvivalent </w:t>
      </w:r>
      <w:r w:rsidRPr="009C2EF2">
        <w:rPr>
          <w:rFonts w:ascii="Times New Roman" w:hAnsi="Times New Roman"/>
          <w:i/>
          <w:color w:val="231F20"/>
          <w:spacing w:val="-1"/>
          <w:sz w:val="24"/>
          <w:szCs w:val="24"/>
          <w:lang w:val="az-Latn-AZ"/>
        </w:rPr>
        <w:t xml:space="preserve">aktiv </w:t>
      </w:r>
      <w:r w:rsidRPr="009C2EF2">
        <w:rPr>
          <w:rFonts w:ascii="Times New Roman" w:hAnsi="Times New Roman"/>
          <w:color w:val="231F20"/>
          <w:sz w:val="24"/>
          <w:szCs w:val="24"/>
          <w:lang w:val="az-Latn-AZ"/>
        </w:rPr>
        <w:t xml:space="preserve">yaradarkən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 xml:space="preserve">əldə etdiyi gəlir kimi bütün təsadüfi xərcləri </w:t>
      </w:r>
      <w:r w:rsidRPr="009C2EF2">
        <w:rPr>
          <w:rFonts w:ascii="Times New Roman" w:hAnsi="Times New Roman"/>
          <w:i/>
          <w:color w:val="231F20"/>
          <w:sz w:val="24"/>
          <w:szCs w:val="24"/>
          <w:lang w:val="az-Latn-AZ"/>
        </w:rPr>
        <w:t>əks etdirməlidir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29"/>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Müasir avadanlıqla bağlı xərc fiziki, funksional, texnoloji və iqtisadi köhnəlmə üzrə </w:t>
      </w:r>
      <w:r w:rsidRPr="009C2EF2">
        <w:rPr>
          <w:rFonts w:ascii="Times New Roman" w:hAnsi="Times New Roman"/>
          <w:i/>
          <w:color w:val="231F20"/>
          <w:sz w:val="24"/>
          <w:szCs w:val="24"/>
          <w:lang w:val="az-Latn-AZ"/>
        </w:rPr>
        <w:t xml:space="preserve">uyğunlaşdırılmalıdır </w:t>
      </w:r>
      <w:r w:rsidRPr="009C2EF2">
        <w:rPr>
          <w:rFonts w:ascii="Times New Roman" w:hAnsi="Times New Roman"/>
          <w:color w:val="231F20"/>
          <w:spacing w:val="1"/>
          <w:sz w:val="24"/>
          <w:szCs w:val="24"/>
          <w:lang w:val="az-Latn-AZ"/>
        </w:rPr>
        <w:t xml:space="preserve">(bax: BQS 105 </w:t>
      </w:r>
      <w:r w:rsidRPr="009C2EF2">
        <w:rPr>
          <w:rFonts w:ascii="Times New Roman" w:hAnsi="Times New Roman"/>
          <w:i/>
          <w:color w:val="231F20"/>
          <w:spacing w:val="-1"/>
          <w:sz w:val="24"/>
          <w:szCs w:val="24"/>
          <w:lang w:val="az-Latn-AZ"/>
        </w:rPr>
        <w:t>Qiymətləndirmə Yanaşmaları</w:t>
      </w:r>
      <w:r w:rsidRPr="009C2EF2">
        <w:rPr>
          <w:rFonts w:ascii="Times New Roman" w:hAnsi="Times New Roman"/>
          <w:color w:val="231F20"/>
          <w:spacing w:val="1"/>
          <w:sz w:val="24"/>
          <w:szCs w:val="24"/>
          <w:lang w:val="az-Latn-AZ"/>
        </w:rPr>
        <w:t xml:space="preserve"> və Metodları, 80-cı bölmə). Köhnəlmə üzrə uyğunlaşdırma potensial alıcı üçün müasir ekvivalentlə müqayisədə qiymətləndirilən aktivin dəyərinin nə dərəcədə az olmasını müəyyənləşdirmək məqsədi daşıyır. Köhnəlmə dərəcəsi müəyyənləşdirilərkən qiymətləndirilən əmlakın fiziki vəziyyəti, funksionallığı və iqtisadi faydalılığı müasir ekvivalent ilə müqayisədə nəzərə alınır.</w:t>
      </w: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85</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9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3744" behindDoc="1" locked="0" layoutInCell="0" allowOverlap="1">
                <wp:simplePos x="0" y="0"/>
                <wp:positionH relativeFrom="page">
                  <wp:posOffset>0</wp:posOffset>
                </wp:positionH>
                <wp:positionV relativeFrom="page">
                  <wp:posOffset>0</wp:posOffset>
                </wp:positionV>
                <wp:extent cx="432435" cy="8424545"/>
                <wp:effectExtent l="0" t="0" r="0" b="0"/>
                <wp:wrapNone/>
                <wp:docPr id="80"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F664CA" id="Freeform 189" o:spid="_x0000_s1026" style="position:absolute;margin-left:0;margin-top:0;width:34.05pt;height:663.3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FhUHiZiAwAAhQ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CF60BC">
      <w:pPr>
        <w:pStyle w:val="a3"/>
        <w:kinsoku w:val="0"/>
        <w:overflowPunct w:val="0"/>
        <w:spacing w:before="80"/>
        <w:ind w:left="3125" w:right="264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Heading41"/>
        <w:numPr>
          <w:ilvl w:val="0"/>
          <w:numId w:val="28"/>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Daşınmaz əmlak üzrə maraqlar ilə bağlı xüsusi mülahizələr</w:t>
      </w:r>
    </w:p>
    <w:p w:rsidR="00D02DD9" w:rsidRPr="009C2EF2" w:rsidRDefault="003C64E0">
      <w:pPr>
        <w:pStyle w:val="a3"/>
        <w:numPr>
          <w:ilvl w:val="1"/>
          <w:numId w:val="28"/>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Aşağıdakı bölmələr qeyri-maddi aktivlər üzrə maraqların qiymətləndirilməsinə müvafiq olan mövzuların natamam siyahısını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Maraqların iyerarxiyası (90-cı bölmə)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İcarə haqqı (100-cü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2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Maraqların iyerarxiyası</w:t>
      </w:r>
    </w:p>
    <w:p w:rsidR="00D02DD9" w:rsidRPr="009C2EF2" w:rsidRDefault="003C64E0">
      <w:pPr>
        <w:pStyle w:val="a3"/>
        <w:numPr>
          <w:ilvl w:val="1"/>
          <w:numId w:val="27"/>
        </w:numPr>
        <w:tabs>
          <w:tab w:val="left" w:pos="1531"/>
        </w:tabs>
        <w:kinsoku w:val="0"/>
        <w:overflowPunct w:val="0"/>
        <w:spacing w:before="122"/>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müxtəlif maraqlar qarşılıqlı şəkildə ziddiyyətli deyil.</w:t>
      </w:r>
    </w:p>
    <w:p w:rsidR="00D02DD9" w:rsidRPr="009C2EF2" w:rsidRDefault="0075026C">
      <w:pPr>
        <w:pStyle w:val="a3"/>
        <w:kinsoku w:val="0"/>
        <w:overflowPunct w:val="0"/>
        <w:spacing w:before="9" w:line="250" w:lineRule="auto"/>
        <w:ind w:right="1287"/>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24960" behindDoc="0" locked="0" layoutInCell="0" allowOverlap="1">
                <wp:simplePos x="0" y="0"/>
                <wp:positionH relativeFrom="page">
                  <wp:posOffset>151130</wp:posOffset>
                </wp:positionH>
                <wp:positionV relativeFrom="paragraph">
                  <wp:posOffset>719455</wp:posOffset>
                </wp:positionV>
                <wp:extent cx="152400" cy="3108960"/>
                <wp:effectExtent l="0" t="0" r="0" b="0"/>
                <wp:wrapNone/>
                <wp:docPr id="7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4" type="#_x0000_t202" style="position:absolute;left:0;text-align:left;margin-left:11.9pt;margin-top:56.65pt;width:12pt;height:244.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Məsələn, əsas maraq bir və ya bir neçə ikinci dərəcəli maraqdan asılı </w:t>
      </w:r>
      <w:r w:rsidR="003C64E0" w:rsidRPr="009C2EF2">
        <w:rPr>
          <w:rFonts w:ascii="Times New Roman" w:hAnsi="Times New Roman"/>
          <w:i/>
          <w:color w:val="231F20"/>
          <w:spacing w:val="-1"/>
          <w:sz w:val="24"/>
          <w:szCs w:val="24"/>
          <w:lang w:val="az-Latn-AZ"/>
        </w:rPr>
        <w:t>ola bilər.</w:t>
      </w:r>
      <w:r w:rsidR="003C64E0" w:rsidRPr="009C2EF2">
        <w:rPr>
          <w:rFonts w:ascii="Times New Roman" w:hAnsi="Times New Roman"/>
          <w:color w:val="231F20"/>
          <w:spacing w:val="-1"/>
          <w:sz w:val="24"/>
          <w:szCs w:val="24"/>
          <w:lang w:val="az-Latn-AZ"/>
        </w:rPr>
        <w:t xml:space="preserve"> Mütləq maraq sahibi öz marağının müəyyən bir hissəsi və ya hamısı ilə bağlı lizinq marağı </w:t>
      </w:r>
      <w:r w:rsidR="003C64E0" w:rsidRPr="009C2EF2">
        <w:rPr>
          <w:rFonts w:ascii="Times New Roman" w:hAnsi="Times New Roman"/>
          <w:i/>
          <w:color w:val="231F20"/>
          <w:spacing w:val="-1"/>
          <w:sz w:val="24"/>
          <w:szCs w:val="24"/>
          <w:lang w:val="az-Latn-AZ"/>
        </w:rPr>
        <w:t>verə bilər</w:t>
      </w:r>
      <w:r w:rsidR="003C64E0" w:rsidRPr="009C2EF2">
        <w:rPr>
          <w:rFonts w:ascii="Times New Roman" w:hAnsi="Times New Roman"/>
          <w:color w:val="231F20"/>
          <w:spacing w:val="-1"/>
          <w:sz w:val="24"/>
          <w:szCs w:val="24"/>
          <w:lang w:val="az-Latn-AZ"/>
        </w:rPr>
        <w:t>.  Birbaşa olaraq mütləq maraq sahibi tərəfindən verilən icarə hüquqları birbaşa lizinq maraqları adlanır. Lizinq müqaviləsinin şərtləri ilə qadağan edilmədiyi halda, birbaşa lizinq marağının sahibi, bu marağın bir hissəsini və ya hamısını (sub-lizinq marağı) lizinq</w:t>
      </w:r>
    </w:p>
    <w:p w:rsidR="00D02DD9" w:rsidRPr="009C2EF2" w:rsidRDefault="003C64E0">
      <w:pPr>
        <w:pStyle w:val="a3"/>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müqaviləsi üzrə üçüncü tərəfə verə bilər. Sub-lizinq marağı onun əsasını təşkil edən birbaşa lizinqdən daha qısa və ya eyni həcmə malik olur.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Aşağıdakı nümunələrdə göstərildiyi kimi bu əmlak üzrə maraqların öz xüsusiyyətləri mövcuddur: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7"/>
        </w:numPr>
        <w:tabs>
          <w:tab w:val="left" w:pos="1815"/>
        </w:tabs>
        <w:kinsoku w:val="0"/>
        <w:overflowPunct w:val="0"/>
        <w:spacing w:line="250" w:lineRule="auto"/>
        <w:ind w:left="1814" w:right="132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Mütləq maraq hər zaman birbaşa mülkiyyət hüququnu təmin etsə də, onun ikinci dərəcəli maraqlardan asılılığı</w:t>
      </w:r>
      <w:r w:rsidRPr="009C2EF2">
        <w:rPr>
          <w:rFonts w:ascii="Times New Roman" w:hAnsi="Times New Roman"/>
          <w:i/>
          <w:color w:val="231F20"/>
          <w:spacing w:val="-1"/>
          <w:sz w:val="24"/>
          <w:szCs w:val="24"/>
          <w:lang w:val="az-Latn-AZ"/>
        </w:rPr>
        <w:t xml:space="preserve"> ola bilər.</w:t>
      </w:r>
      <w:r w:rsidRPr="009C2EF2">
        <w:rPr>
          <w:rFonts w:ascii="Times New Roman" w:hAnsi="Times New Roman"/>
          <w:color w:val="231F20"/>
          <w:spacing w:val="1"/>
          <w:sz w:val="24"/>
          <w:szCs w:val="24"/>
          <w:lang w:val="az-Latn-AZ"/>
        </w:rPr>
        <w:t xml:space="preserve"> Bu ikinci dərəcəli maraqlara lizinqlər, mülkiyyətin öncəki sahibinin tətbiq etdiyi məhdudiyyətlər və ya qanunvericiliyə müvafiq olaraq tətbiq edilən məhdudiyyətlər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7"/>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Lizinq marağı müəyyən müddət ərzində qüvvədə olur. Bu müddətin sonunda isə əmlak onun yaradılmasının əsasını təşkil edən üstün marağın sahibinə qaytarılır. İcarə müqaviləsində, adətən, icarəçi ilə bağlı icarə haqqının ödənilməsi və digər xərclərin qarşılanması kimi müəyyən </w:t>
      </w:r>
      <w:r w:rsidRPr="009C2EF2">
        <w:rPr>
          <w:rFonts w:ascii="Times New Roman" w:hAnsi="Times New Roman"/>
          <w:color w:val="231F20"/>
          <w:sz w:val="24"/>
          <w:szCs w:val="24"/>
          <w:lang w:val="az-Latn-AZ"/>
        </w:rPr>
        <w:lastRenderedPageBreak/>
        <w:t xml:space="preserve">öhdəliklər tətbiq olunur. İcarə müqaviləsində, həmçinin, əmlakın istifadəsi və ya əmlak ilə bağlı maraqların üçüncü tərəfə ötürülməsi ilə bağlı şərt və ya məhdudiyyətlərin tətbiqi nəzərdə </w:t>
      </w:r>
      <w:r w:rsidRPr="009C2EF2">
        <w:rPr>
          <w:rFonts w:ascii="Times New Roman" w:hAnsi="Times New Roman"/>
          <w:i/>
          <w:color w:val="231F20"/>
          <w:spacing w:val="-1"/>
          <w:sz w:val="24"/>
          <w:szCs w:val="24"/>
          <w:lang w:val="az-Latn-AZ"/>
        </w:rPr>
        <w:t>tutula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7"/>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İstifadə hüququ daimi olaraq və ya müəyyən müddət üçün </w:t>
      </w:r>
      <w:r w:rsidRPr="009C2EF2">
        <w:rPr>
          <w:rFonts w:ascii="Times New Roman" w:hAnsi="Times New Roman"/>
          <w:i/>
          <w:color w:val="231F20"/>
          <w:spacing w:val="-1"/>
          <w:sz w:val="24"/>
          <w:szCs w:val="24"/>
          <w:lang w:val="az-Latn-AZ"/>
        </w:rPr>
        <w:t>qüvvədə qala bilər</w:t>
      </w:r>
      <w:r w:rsidRPr="009C2EF2">
        <w:rPr>
          <w:rFonts w:ascii="Times New Roman" w:hAnsi="Times New Roman"/>
          <w:color w:val="231F20"/>
          <w:sz w:val="24"/>
          <w:szCs w:val="24"/>
          <w:lang w:val="az-Latn-AZ"/>
        </w:rPr>
        <w:t xml:space="preserve">. Bu hüquq ödənişlər edən və ya müəyyənləşdirilmiş digər şərtləri yerini yetirən əmlak sahibindən asılı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7"/>
        </w:numPr>
        <w:tabs>
          <w:tab w:val="left" w:pos="1531"/>
        </w:tabs>
        <w:kinsoku w:val="0"/>
        <w:overflowPunct w:val="0"/>
        <w:spacing w:line="250" w:lineRule="auto"/>
        <w:ind w:right="124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Ona görə də, daşınmaz əmlak üzrə marağı qiymətləndirərkən həmin marağın sahibinə məxsus hüquqların xarakterini müəyyən etmək və həmin əmlak üzrə digər maraqların mövcudluğu ilə bağlı məhdudiyyətlər və ya çətinlikləri əks </w:t>
      </w:r>
    </w:p>
    <w:p w:rsidR="00D02DD9" w:rsidRPr="009C2EF2" w:rsidRDefault="003C64E0">
      <w:pPr>
        <w:pStyle w:val="a3"/>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etdirmək zəruridir.  Eyni bir əmlakda müxtəlif maraqların hər birinin dəyərinin məcmusu əksər hallarda azad üstün marağın dəyərindən fərqli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6"/>
        </w:numPr>
        <w:tabs>
          <w:tab w:val="left" w:pos="1531"/>
        </w:tabs>
        <w:kinsoku w:val="0"/>
        <w:overflowPunct w:val="0"/>
        <w:ind w:left="1530" w:hanging="567"/>
        <w:outlineLvl w:val="9"/>
        <w:rPr>
          <w:rFonts w:ascii="Times New Roman" w:hAnsi="Times New Roman"/>
          <w:b w:val="0"/>
          <w:color w:val="000000"/>
          <w:sz w:val="24"/>
          <w:szCs w:val="24"/>
          <w:lang w:val="az-Latn-AZ"/>
        </w:rPr>
      </w:pPr>
      <w:r w:rsidRPr="009C2EF2">
        <w:rPr>
          <w:rFonts w:ascii="Times New Roman" w:hAnsi="Times New Roman"/>
          <w:color w:val="231F20"/>
          <w:sz w:val="24"/>
          <w:szCs w:val="24"/>
          <w:lang w:val="az-Latn-AZ"/>
        </w:rPr>
        <w:t>İcarə haqqı</w:t>
      </w:r>
    </w:p>
    <w:p w:rsidR="00D02DD9" w:rsidRPr="009C2EF2" w:rsidRDefault="003C64E0">
      <w:pPr>
        <w:pStyle w:val="a3"/>
        <w:numPr>
          <w:ilvl w:val="1"/>
          <w:numId w:val="26"/>
        </w:numPr>
        <w:tabs>
          <w:tab w:val="left" w:pos="1531"/>
        </w:tabs>
        <w:kinsoku w:val="0"/>
        <w:overflowPunct w:val="0"/>
        <w:spacing w:before="122"/>
        <w:rPr>
          <w:rFonts w:ascii="Times New Roman" w:hAnsi="Times New Roman"/>
          <w:color w:val="000000"/>
          <w:sz w:val="24"/>
          <w:szCs w:val="24"/>
          <w:lang w:val="az-Latn-AZ"/>
        </w:rPr>
      </w:pPr>
      <w:r w:rsidRPr="009C2EF2">
        <w:rPr>
          <w:rFonts w:ascii="Times New Roman" w:hAnsi="Times New Roman"/>
          <w:color w:val="231F20"/>
          <w:sz w:val="24"/>
          <w:szCs w:val="24"/>
          <w:lang w:val="az-Latn-AZ"/>
        </w:rPr>
        <w:t>BQS 104 Dəyər Bazaları bölməsində bazar icarə haqqı dəyər bazası kimi təqdim olunur.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26"/>
        </w:numPr>
        <w:tabs>
          <w:tab w:val="left" w:pos="1531"/>
        </w:tabs>
        <w:kinsoku w:val="0"/>
        <w:overflowPunct w:val="0"/>
        <w:spacing w:line="250" w:lineRule="auto"/>
        <w:ind w:right="154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İcarə müqaviləsi və ya icarə nəticəsində yaranan maraqdan asılı olan əsas marağı qiymətləndirərkən qiymətləndiricilər torpaq rentasını nəzərə almalıdırlar. və fərq mövcud olduğu halda isə bazar icarə haqqını </w:t>
      </w:r>
      <w:r w:rsidRPr="009C2EF2">
        <w:rPr>
          <w:rFonts w:ascii="Times New Roman" w:hAnsi="Times New Roman"/>
          <w:i/>
          <w:color w:val="231F20"/>
          <w:sz w:val="24"/>
          <w:szCs w:val="24"/>
          <w:lang w:val="az-Latn-AZ"/>
        </w:rPr>
        <w:t>nəzərə almalıdırlar.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86</w:t>
      </w:r>
    </w:p>
    <w:p w:rsidR="00D02DD9" w:rsidRPr="009C2EF2" w:rsidRDefault="00D02DD9">
      <w:pPr>
        <w:pStyle w:val="a3"/>
        <w:kinsoku w:val="0"/>
        <w:overflowPunct w:val="0"/>
        <w:spacing w:before="80"/>
        <w:ind w:left="4185" w:right="4349"/>
        <w:jc w:val="center"/>
        <w:rPr>
          <w:rFonts w:ascii="Times New Roman" w:hAnsi="Times New Roman"/>
          <w:color w:val="000000"/>
          <w:sz w:val="24"/>
          <w:szCs w:val="24"/>
          <w:lang w:val="az-Latn-AZ"/>
        </w:rPr>
        <w:sectPr w:rsidR="00D02DD9" w:rsidRPr="009C2EF2">
          <w:footerReference w:type="default" r:id="rId9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4768" behindDoc="1" locked="0" layoutInCell="0" allowOverlap="1">
                <wp:simplePos x="0" y="0"/>
                <wp:positionH relativeFrom="page">
                  <wp:posOffset>5183505</wp:posOffset>
                </wp:positionH>
                <wp:positionV relativeFrom="page">
                  <wp:posOffset>0</wp:posOffset>
                </wp:positionV>
                <wp:extent cx="431800" cy="8423910"/>
                <wp:effectExtent l="0" t="0" r="0" b="0"/>
                <wp:wrapNone/>
                <wp:docPr id="78"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4D6A3E" id="Freeform 191" o:spid="_x0000_s1026" style="position:absolute;margin-left:408.15pt;margin-top:0;width:34pt;height:663.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QaCgR3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25984" behindDoc="0" locked="0" layoutInCell="0" allowOverlap="1">
                <wp:simplePos x="0" y="0"/>
                <wp:positionH relativeFrom="page">
                  <wp:posOffset>5276215</wp:posOffset>
                </wp:positionH>
                <wp:positionV relativeFrom="page">
                  <wp:posOffset>2657475</wp:posOffset>
                </wp:positionV>
                <wp:extent cx="152400" cy="3108960"/>
                <wp:effectExtent l="0" t="0" r="0" b="0"/>
                <wp:wrapNone/>
                <wp:docPr id="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5" type="#_x0000_t202" style="position:absolute;margin-left:415.45pt;margin-top:209.25pt;width:12pt;height:244.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Fsg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BQS 400 Daşınmaz Əmlak üzrə Maraqlar</w:t>
                      </w:r>
                    </w:p>
                  </w:txbxContent>
                </v:textbox>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1"/>
          <w:numId w:val="26"/>
        </w:numPr>
        <w:tabs>
          <w:tab w:val="left" w:pos="681"/>
        </w:tabs>
        <w:kinsoku w:val="0"/>
        <w:overflowPunct w:val="0"/>
        <w:spacing w:before="77"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Torpaq rentası mövcud icarə müqaviləsi əsasında ödənilən icarə haqqıdır. Bu renta icarə müddəti ərzində sabit qala və ya dəyişə </w:t>
      </w:r>
      <w:r w:rsidRPr="009C2EF2">
        <w:rPr>
          <w:rFonts w:ascii="Times New Roman" w:hAnsi="Times New Roman"/>
          <w:i/>
          <w:color w:val="231F20"/>
          <w:spacing w:val="-1"/>
          <w:sz w:val="24"/>
          <w:szCs w:val="24"/>
          <w:lang w:val="az-Latn-AZ"/>
        </w:rPr>
        <w:t>bilər</w:t>
      </w:r>
      <w:r w:rsidRPr="009C2EF2">
        <w:rPr>
          <w:rFonts w:ascii="Times New Roman" w:hAnsi="Times New Roman"/>
          <w:color w:val="231F20"/>
          <w:sz w:val="24"/>
          <w:szCs w:val="24"/>
          <w:lang w:val="az-Latn-AZ"/>
        </w:rPr>
        <w:t xml:space="preserve">. İcarə müqaviləsində qeyd olunacaq icarə ilə bağlı variasiyaların tezliyi və bazası icarədara ödəniləcək ümumi məbləği və icarəçinin öhdəliyini müəyyən etmək məqsədi ilə izah olunmalı və başa </w:t>
      </w:r>
      <w:r w:rsidRPr="009C2EF2">
        <w:rPr>
          <w:rFonts w:ascii="Times New Roman" w:hAnsi="Times New Roman"/>
          <w:i/>
          <w:color w:val="231F20"/>
          <w:sz w:val="24"/>
          <w:szCs w:val="24"/>
          <w:lang w:val="az-Latn-AZ"/>
        </w:rPr>
        <w:t>düşülməlidirlər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876" w:right="3725"/>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87</w:t>
      </w:r>
    </w:p>
    <w:p w:rsidR="00D02DD9" w:rsidRPr="009C2EF2" w:rsidRDefault="00D02DD9">
      <w:pPr>
        <w:pStyle w:val="a3"/>
        <w:kinsoku w:val="0"/>
        <w:overflowPunct w:val="0"/>
        <w:spacing w:before="80"/>
        <w:ind w:left="2876" w:right="3725"/>
        <w:jc w:val="center"/>
        <w:rPr>
          <w:rFonts w:ascii="Times New Roman" w:hAnsi="Times New Roman"/>
          <w:color w:val="000000"/>
          <w:sz w:val="24"/>
          <w:szCs w:val="24"/>
          <w:lang w:val="az-Latn-AZ"/>
        </w:rPr>
        <w:sectPr w:rsidR="00D02DD9" w:rsidRPr="009C2EF2">
          <w:footerReference w:type="default" r:id="rId9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5792" behindDoc="1" locked="0" layoutInCell="0" allowOverlap="1">
                <wp:simplePos x="0" y="0"/>
                <wp:positionH relativeFrom="page">
                  <wp:posOffset>0</wp:posOffset>
                </wp:positionH>
                <wp:positionV relativeFrom="page">
                  <wp:posOffset>0</wp:posOffset>
                </wp:positionV>
                <wp:extent cx="432435" cy="8424545"/>
                <wp:effectExtent l="0" t="0" r="0" b="0"/>
                <wp:wrapNone/>
                <wp:docPr id="76"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0EF91B" id="Freeform 193" o:spid="_x0000_s1026" style="position:absolute;margin-left:0;margin-top:0;width:34.05pt;height:663.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aRP3Y2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bookmarkStart w:id="13" w:name="bookmark12"/>
      <w:bookmarkEnd w:id="13"/>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7"/>
        <w:ind w:left="0"/>
        <w:rPr>
          <w:rFonts w:ascii="Times New Roman" w:hAnsi="Times New Roman"/>
          <w:i/>
          <w:sz w:val="24"/>
          <w:szCs w:val="24"/>
          <w:lang w:val="az-Latn-AZ"/>
        </w:rPr>
      </w:pPr>
    </w:p>
    <w:p w:rsidR="00D02DD9" w:rsidRPr="009C2EF2" w:rsidRDefault="003C64E0">
      <w:pPr>
        <w:pStyle w:val="Heading21"/>
        <w:kinsoku w:val="0"/>
        <w:overflowPunct w:val="0"/>
        <w:ind w:left="963"/>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410 Tikinti Obyekti</w:t>
      </w:r>
    </w:p>
    <w:p w:rsidR="00D02DD9" w:rsidRPr="009C2EF2" w:rsidRDefault="00D02DD9">
      <w:pPr>
        <w:pStyle w:val="a3"/>
        <w:kinsoku w:val="0"/>
        <w:overflowPunct w:val="0"/>
        <w:spacing w:before="4"/>
        <w:ind w:left="0"/>
        <w:rPr>
          <w:rFonts w:ascii="Times New Roman" w:hAnsi="Times New Roman"/>
          <w:b/>
          <w:sz w:val="24"/>
          <w:szCs w:val="24"/>
          <w:lang w:val="az-Latn-AZ"/>
        </w:rPr>
      </w:pPr>
    </w:p>
    <w:tbl>
      <w:tblPr>
        <w:tblW w:w="0" w:type="auto"/>
        <w:tblInd w:w="964" w:type="dxa"/>
        <w:tblLayout w:type="fixed"/>
        <w:tblCellMar>
          <w:left w:w="0" w:type="dxa"/>
          <w:right w:w="0" w:type="dxa"/>
        </w:tblCellMar>
        <w:tblLook w:val="04A0" w:firstRow="1" w:lastRow="0" w:firstColumn="1" w:lastColumn="0" w:noHBand="0" w:noVBand="1"/>
      </w:tblPr>
      <w:tblGrid>
        <w:gridCol w:w="4943"/>
        <w:gridCol w:w="1803"/>
      </w:tblGrid>
      <w:tr w:rsidR="00D02DD9" w:rsidRPr="009C2EF2">
        <w:trPr>
          <w:trHeight w:hRule="exact" w:val="829"/>
        </w:trPr>
        <w:tc>
          <w:tcPr>
            <w:tcW w:w="4943"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803" w:type="dxa"/>
            <w:tcBorders>
              <w:top w:val="nil"/>
              <w:left w:val="nil"/>
              <w:bottom w:val="nil"/>
              <w:right w:val="nil"/>
            </w:tcBorders>
            <w:shd w:val="clear" w:color="auto" w:fill="E6E7E8"/>
          </w:tcPr>
          <w:p w:rsidR="00D02DD9" w:rsidRPr="009C2EF2" w:rsidRDefault="00D02DD9">
            <w:pPr>
              <w:pStyle w:val="TableParagraph"/>
              <w:kinsoku w:val="0"/>
              <w:overflowPunct w:val="0"/>
              <w:spacing w:before="9"/>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tikinti obyekti üzrə xüsusi mülahizələr</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Qalıq üsulu</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w w:val="95"/>
                <w:sz w:val="24"/>
                <w:szCs w:val="24"/>
                <w:lang w:val="az-Latn-AZ"/>
              </w:rPr>
              <w:t>90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Mövcud aktiv</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z w:val="24"/>
                <w:szCs w:val="24"/>
                <w:lang w:val="az-Latn-AZ"/>
              </w:rPr>
              <w:t>100</w:t>
            </w:r>
          </w:p>
        </w:tc>
      </w:tr>
      <w:tr w:rsidR="00D02DD9" w:rsidRPr="009C2EF2">
        <w:trPr>
          <w:trHeight w:hRule="exact" w:val="273"/>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Maliyyə hesabatı üzrə xüsusi mülahizələr</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7"/>
                <w:sz w:val="24"/>
                <w:szCs w:val="24"/>
                <w:lang w:val="az-Latn-AZ"/>
              </w:rPr>
              <w:t>110</w:t>
            </w:r>
          </w:p>
        </w:tc>
      </w:tr>
      <w:tr w:rsidR="00D02DD9" w:rsidRPr="009C2EF2">
        <w:trPr>
          <w:trHeight w:hRule="exact" w:val="464"/>
        </w:trPr>
        <w:tc>
          <w:tcPr>
            <w:tcW w:w="494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Təminatlı kredit üzrə xüsusi mülahizələr</w:t>
            </w:r>
          </w:p>
        </w:tc>
        <w:tc>
          <w:tcPr>
            <w:tcW w:w="1803"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2"/>
                <w:sz w:val="24"/>
                <w:szCs w:val="24"/>
                <w:lang w:val="az-Latn-AZ"/>
              </w:rPr>
              <w:t>120</w:t>
            </w:r>
          </w:p>
        </w:tc>
      </w:tr>
    </w:tbl>
    <w:p w:rsidR="00D02DD9" w:rsidRPr="009C2EF2" w:rsidRDefault="00D02DD9">
      <w:pPr>
        <w:pStyle w:val="a3"/>
        <w:kinsoku w:val="0"/>
        <w:overflowPunct w:val="0"/>
        <w:spacing w:before="3"/>
        <w:ind w:left="0"/>
        <w:rPr>
          <w:rFonts w:ascii="Times New Roman" w:hAnsi="Times New Roman"/>
          <w:b/>
          <w:sz w:val="24"/>
          <w:szCs w:val="24"/>
          <w:lang w:val="az-Latn-AZ"/>
        </w:rPr>
      </w:pPr>
    </w:p>
    <w:p w:rsidR="00D02DD9" w:rsidRPr="009C2EF2" w:rsidRDefault="0075026C">
      <w:pPr>
        <w:pStyle w:val="Heading41"/>
        <w:numPr>
          <w:ilvl w:val="0"/>
          <w:numId w:val="25"/>
        </w:numPr>
        <w:tabs>
          <w:tab w:val="left" w:pos="1531"/>
        </w:tabs>
        <w:kinsoku w:val="0"/>
        <w:overflowPunct w:val="0"/>
        <w:spacing w:before="77"/>
        <w:ind w:left="1530"/>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27008" behindDoc="0" locked="0" layoutInCell="0" allowOverlap="1">
                <wp:simplePos x="0" y="0"/>
                <wp:positionH relativeFrom="page">
                  <wp:posOffset>151130</wp:posOffset>
                </wp:positionH>
                <wp:positionV relativeFrom="paragraph">
                  <wp:posOffset>-771525</wp:posOffset>
                </wp:positionV>
                <wp:extent cx="152400" cy="3048635"/>
                <wp:effectExtent l="0" t="0" r="0" b="0"/>
                <wp:wrapNone/>
                <wp:docPr id="7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6" type="#_x0000_t202" style="position:absolute;left:0;text-align:left;margin-left:11.9pt;margin-top:-60.75pt;width:12pt;height:240.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fMsg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pacing w:val="2"/>
          <w:sz w:val="24"/>
          <w:szCs w:val="24"/>
          <w:lang w:val="az-Latn-AZ"/>
        </w:rPr>
        <w:t>İcmal</w:t>
      </w:r>
    </w:p>
    <w:p w:rsidR="00D02DD9" w:rsidRPr="009C2EF2" w:rsidRDefault="003C64E0">
      <w:pPr>
        <w:pStyle w:val="a3"/>
        <w:numPr>
          <w:ilvl w:val="1"/>
          <w:numId w:val="25"/>
        </w:numPr>
        <w:tabs>
          <w:tab w:val="left" w:pos="1531"/>
        </w:tabs>
        <w:kinsoku w:val="0"/>
        <w:overflowPunct w:val="0"/>
        <w:spacing w:before="122" w:line="250" w:lineRule="auto"/>
        <w:ind w:right="1527"/>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 üzrə qiymətləndirmələr ilə bağlı Əsas Standartlar BQS 101 - BQS 105-də nəzərdə tutulan prinsiplər tətbiq olunur. Bu standarta yalnız düzəlişlər, əlavə prinsiplər və ya bu standartın tətbiq olunduğu qiymətləndirmələr üzrə Əsas Standartların tətbiq olunma qaydasını özündə əks etdirən xüsusi nümunələr daxildir. tikinti obyekti üzrə qiymətləndirmələr, həmçinin, BQS 400 Daşınmaz Əmlak üzrə Maraqlar bölməsinə u</w:t>
      </w:r>
      <w:r w:rsidRPr="009C2EF2">
        <w:rPr>
          <w:rFonts w:ascii="Times New Roman" w:hAnsi="Times New Roman"/>
          <w:i/>
          <w:color w:val="231F20"/>
          <w:sz w:val="24"/>
          <w:szCs w:val="24"/>
          <w:lang w:val="az-Latn-AZ"/>
        </w:rPr>
        <w:t>yğun olmalıdır.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4"/>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24"/>
        </w:numPr>
        <w:tabs>
          <w:tab w:val="left" w:pos="1531"/>
        </w:tabs>
        <w:kinsoku w:val="0"/>
        <w:overflowPunct w:val="0"/>
        <w:spacing w:before="122" w:line="250" w:lineRule="auto"/>
        <w:ind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t>Bu standarta əsasən, tikinti əraziləri ən yaxşı və ən səmərəli istifadəyə nail olmaq üçün yenidən planlaşdırmanın tələb olunduğu və ya təkmilləşdirmə işlərinin nəzərdə tutulduğu və ya qiymətləndirmə tarixində həyata keçirildiyi maraqlardır. Həmin maraqlara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binaların tikilməsi,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əvvəllər boş olmuş və cari vəziyyətdə infrastrukturla təmin olunan sahə,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əvvəllər tikintinin həyata keçirildiyi ərazinin yenidən qurulması,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mövcud tikili və ya strukturların  təkmilləşdirilməsi və ya dəyişdirilməsi,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Rəsmi planda tikinti üçün nəzərdə tutulmuş ərazi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4"/>
        </w:numPr>
        <w:tabs>
          <w:tab w:val="left" w:pos="1815"/>
        </w:tabs>
        <w:kinsoku w:val="0"/>
        <w:overflowPunct w:val="0"/>
        <w:spacing w:line="250" w:lineRule="auto"/>
        <w:ind w:left="1814" w:right="2303"/>
        <w:rPr>
          <w:rFonts w:ascii="Times New Roman" w:hAnsi="Times New Roman"/>
          <w:color w:val="000000"/>
          <w:sz w:val="24"/>
          <w:szCs w:val="24"/>
          <w:lang w:val="az-Latn-AZ"/>
        </w:rPr>
      </w:pPr>
      <w:r w:rsidRPr="009C2EF2">
        <w:rPr>
          <w:rFonts w:ascii="Times New Roman" w:hAnsi="Times New Roman"/>
          <w:color w:val="231F20"/>
          <w:sz w:val="24"/>
          <w:szCs w:val="24"/>
          <w:lang w:val="az-Latn-AZ"/>
        </w:rPr>
        <w:t>rəsmi planda böyük sıxlıqda istifadə üçün ayrılmış ərazi.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4"/>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tikinti obyekti üzrə qiymətləndirmənin aparılması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 xml:space="preserve">ilə bağlı </w:t>
      </w:r>
      <w:r w:rsidRPr="009C2EF2">
        <w:rPr>
          <w:rFonts w:ascii="Times New Roman" w:hAnsi="Times New Roman"/>
          <w:i/>
          <w:color w:val="231F20"/>
          <w:spacing w:val="-1"/>
          <w:sz w:val="24"/>
          <w:szCs w:val="24"/>
          <w:lang w:val="az-Latn-AZ"/>
        </w:rPr>
        <w:t>tələb oluna bilər.</w:t>
      </w:r>
      <w:r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 xml:space="preserve">qiymətləndirmənin </w:t>
      </w:r>
      <w:r w:rsidRPr="009C2EF2">
        <w:rPr>
          <w:rFonts w:ascii="Times New Roman" w:hAnsi="Times New Roman"/>
          <w:i/>
          <w:color w:val="231F20"/>
          <w:spacing w:val="1"/>
          <w:sz w:val="24"/>
          <w:szCs w:val="24"/>
          <w:lang w:val="az-Latn-AZ"/>
        </w:rPr>
        <w:t xml:space="preserve">məqsədini </w:t>
      </w:r>
      <w:r w:rsidRPr="009C2EF2">
        <w:rPr>
          <w:rFonts w:ascii="Times New Roman" w:hAnsi="Times New Roman"/>
          <w:color w:val="231F20"/>
          <w:spacing w:val="-1"/>
          <w:sz w:val="24"/>
          <w:szCs w:val="24"/>
          <w:lang w:val="az-Latn-AZ"/>
        </w:rPr>
        <w:t>bilmək məsuliyyəti daşıyır.</w:t>
      </w:r>
    </w:p>
    <w:p w:rsidR="00D02DD9" w:rsidRPr="009C2EF2" w:rsidRDefault="003C64E0">
      <w:pPr>
        <w:pStyle w:val="a3"/>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Tikintinin gedişatının qiymətləndirilməsini </w:t>
      </w:r>
      <w:r w:rsidRPr="009C2EF2">
        <w:rPr>
          <w:rFonts w:ascii="Times New Roman" w:hAnsi="Times New Roman"/>
          <w:i/>
          <w:color w:val="231F20"/>
          <w:spacing w:val="-1"/>
          <w:sz w:val="24"/>
          <w:szCs w:val="24"/>
          <w:lang w:val="az-Latn-AZ"/>
        </w:rPr>
        <w:t xml:space="preserve">tələb edə biləcək </w:t>
      </w:r>
      <w:r w:rsidRPr="009C2EF2">
        <w:rPr>
          <w:rFonts w:ascii="Times New Roman" w:hAnsi="Times New Roman"/>
          <w:color w:val="231F20"/>
          <w:sz w:val="24"/>
          <w:szCs w:val="24"/>
          <w:lang w:val="az-Latn-AZ"/>
        </w:rPr>
        <w:t>vəziyyətlərin natamam siyahısı aşağıdakı kimidir: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ind w:left="4185" w:right="4349"/>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88</w:t>
      </w:r>
    </w:p>
    <w:p w:rsidR="00D02DD9" w:rsidRPr="009C2EF2" w:rsidRDefault="00D02DD9">
      <w:pPr>
        <w:pStyle w:val="a3"/>
        <w:kinsoku w:val="0"/>
        <w:overflowPunct w:val="0"/>
        <w:ind w:left="4185" w:right="4349"/>
        <w:jc w:val="center"/>
        <w:rPr>
          <w:rFonts w:ascii="Times New Roman" w:hAnsi="Times New Roman"/>
          <w:color w:val="000000"/>
          <w:sz w:val="24"/>
          <w:szCs w:val="24"/>
          <w:lang w:val="az-Latn-AZ"/>
        </w:rPr>
        <w:sectPr w:rsidR="00D02DD9" w:rsidRPr="009C2EF2">
          <w:footerReference w:type="default" r:id="rId9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6816" behindDoc="1" locked="0" layoutInCell="0" allowOverlap="1">
                <wp:simplePos x="0" y="0"/>
                <wp:positionH relativeFrom="page">
                  <wp:posOffset>5183505</wp:posOffset>
                </wp:positionH>
                <wp:positionV relativeFrom="page">
                  <wp:posOffset>0</wp:posOffset>
                </wp:positionV>
                <wp:extent cx="431800" cy="8423910"/>
                <wp:effectExtent l="0" t="0" r="0" b="0"/>
                <wp:wrapNone/>
                <wp:docPr id="7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24C2110" id="Freeform 195" o:spid="_x0000_s1026" style="position:absolute;margin-left:408.15pt;margin-top:0;width:34pt;height:663.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GbDkE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F60BC">
      <w:pPr>
        <w:pStyle w:val="a3"/>
        <w:kinsoku w:val="0"/>
        <w:overflowPunct w:val="0"/>
        <w:spacing w:before="79"/>
        <w:ind w:left="2878" w:right="288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CF60BC">
      <w:pPr>
        <w:pStyle w:val="a3"/>
        <w:numPr>
          <w:ilvl w:val="2"/>
          <w:numId w:val="26"/>
        </w:numPr>
        <w:tabs>
          <w:tab w:val="left" w:pos="965"/>
        </w:tabs>
        <w:kinsoku w:val="0"/>
        <w:overflowPunct w:val="0"/>
        <w:spacing w:before="77"/>
        <w:ind w:left="964" w:right="540"/>
        <w:rPr>
          <w:rFonts w:ascii="Times New Roman" w:hAnsi="Times New Roman"/>
          <w:color w:val="000000"/>
          <w:sz w:val="24"/>
          <w:szCs w:val="24"/>
          <w:lang w:val="az-Latn-AZ"/>
        </w:rPr>
      </w:pPr>
      <w:r w:rsidRPr="009C2EF2">
        <w:rPr>
          <w:rFonts w:ascii="Times New Roman" w:hAnsi="Times New Roman"/>
          <w:color w:val="231F20"/>
          <w:sz w:val="24"/>
          <w:szCs w:val="24"/>
          <w:lang w:val="az-Latn-AZ"/>
        </w:rPr>
        <w:t>təklif olunan layihələrin maliyyə cəhətdən mümkün olduğunu müəyyənləşdirərkən,</w:t>
      </w:r>
    </w:p>
    <w:p w:rsidR="00D02DD9" w:rsidRPr="009C2EF2" w:rsidRDefault="003C64E0">
      <w:pPr>
        <w:pStyle w:val="a3"/>
        <w:numPr>
          <w:ilvl w:val="2"/>
          <w:numId w:val="26"/>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satınalma və kredit təhlükəsizliyinə dair ümumi konsaltinq və əməliyyat dəstəyi müqavilələrinin bir hissəsi kimi,</w:t>
      </w:r>
    </w:p>
    <w:p w:rsidR="00D02DD9" w:rsidRPr="009C2EF2" w:rsidRDefault="003C64E0">
      <w:pPr>
        <w:pStyle w:val="a3"/>
        <w:numPr>
          <w:ilvl w:val="2"/>
          <w:numId w:val="26"/>
        </w:numPr>
        <w:tabs>
          <w:tab w:val="left" w:pos="965"/>
        </w:tabs>
        <w:kinsoku w:val="0"/>
        <w:overflowPunct w:val="0"/>
        <w:spacing w:line="250" w:lineRule="auto"/>
        <w:ind w:left="964" w:right="163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vergi hesabatları vermək </w:t>
      </w:r>
      <w:r w:rsidRPr="009C2EF2">
        <w:rPr>
          <w:rFonts w:ascii="Times New Roman" w:hAnsi="Times New Roman"/>
          <w:i/>
          <w:color w:val="231F20"/>
          <w:sz w:val="24"/>
          <w:szCs w:val="24"/>
          <w:lang w:val="az-Latn-AZ"/>
        </w:rPr>
        <w:t>məqsədilə</w:t>
      </w:r>
      <w:r w:rsidRPr="009C2EF2">
        <w:rPr>
          <w:rFonts w:ascii="Times New Roman" w:hAnsi="Times New Roman"/>
          <w:color w:val="231F20"/>
          <w:sz w:val="24"/>
          <w:szCs w:val="24"/>
          <w:lang w:val="az-Latn-AZ"/>
        </w:rPr>
        <w:t>, advalor vergitutma təhlili üçün tikintinin gedişatının qiymətləndirilməsinə tez-tez ehtiyac duyulur,</w:t>
      </w:r>
    </w:p>
    <w:p w:rsidR="00D02DD9" w:rsidRPr="009C2EF2" w:rsidRDefault="003C64E0">
      <w:pPr>
        <w:pStyle w:val="a3"/>
        <w:numPr>
          <w:ilvl w:val="2"/>
          <w:numId w:val="26"/>
        </w:numPr>
        <w:tabs>
          <w:tab w:val="left" w:pos="965"/>
        </w:tabs>
        <w:kinsoku w:val="0"/>
        <w:overflowPunct w:val="0"/>
        <w:spacing w:line="250" w:lineRule="auto"/>
        <w:ind w:left="964" w:right="1539"/>
        <w:rPr>
          <w:rFonts w:ascii="Times New Roman" w:hAnsi="Times New Roman"/>
          <w:color w:val="000000"/>
          <w:sz w:val="24"/>
          <w:szCs w:val="24"/>
          <w:lang w:val="az-Latn-AZ"/>
        </w:rPr>
      </w:pPr>
      <w:r w:rsidRPr="009C2EF2">
        <w:rPr>
          <w:rFonts w:ascii="Times New Roman" w:hAnsi="Times New Roman"/>
          <w:color w:val="231F20"/>
          <w:sz w:val="24"/>
          <w:szCs w:val="24"/>
          <w:lang w:val="az-Latn-AZ"/>
        </w:rPr>
        <w:t>səhmdarlarla bağlı mübahisələr və zərərin hesablanması kimi hallarda dəyər hesabatının aparılmasını tələb edən məhkəmə işi zamanı,</w:t>
      </w:r>
    </w:p>
    <w:p w:rsidR="00D02DD9" w:rsidRPr="009C2EF2" w:rsidRDefault="003C64E0">
      <w:pPr>
        <w:pStyle w:val="a3"/>
        <w:numPr>
          <w:ilvl w:val="2"/>
          <w:numId w:val="26"/>
        </w:numPr>
        <w:tabs>
          <w:tab w:val="left" w:pos="965"/>
        </w:tabs>
        <w:kinsoku w:val="0"/>
        <w:overflowPunct w:val="0"/>
        <w:spacing w:line="250" w:lineRule="auto"/>
        <w:ind w:left="964" w:right="1351"/>
        <w:rPr>
          <w:rFonts w:ascii="Times New Roman" w:hAnsi="Times New Roman"/>
          <w:color w:val="000000"/>
          <w:sz w:val="24"/>
          <w:szCs w:val="24"/>
          <w:lang w:val="az-Latn-AZ"/>
        </w:rPr>
      </w:pPr>
      <w:r w:rsidRPr="009C2EF2">
        <w:rPr>
          <w:rFonts w:ascii="Times New Roman" w:hAnsi="Times New Roman"/>
          <w:i/>
          <w:color w:val="231F20"/>
          <w:sz w:val="24"/>
          <w:szCs w:val="24"/>
          <w:lang w:val="az-Latn-AZ"/>
        </w:rPr>
        <w:t xml:space="preserve">maliyyə hesabatlarının </w:t>
      </w:r>
      <w:r w:rsidRPr="009C2EF2">
        <w:rPr>
          <w:rFonts w:ascii="Times New Roman" w:hAnsi="Times New Roman"/>
          <w:color w:val="231F20"/>
          <w:sz w:val="24"/>
          <w:szCs w:val="24"/>
          <w:lang w:val="az-Latn-AZ"/>
        </w:rPr>
        <w:t xml:space="preserve">məqsədindən asılı olaraq, tikinti obyektinin qiymətləndirilməsi, əsasən, şirkət birləşmələri üzrə uçot, </w:t>
      </w:r>
      <w:r w:rsidRPr="009C2EF2">
        <w:rPr>
          <w:rFonts w:ascii="Times New Roman" w:hAnsi="Times New Roman"/>
          <w:i/>
          <w:color w:val="231F20"/>
          <w:sz w:val="24"/>
          <w:szCs w:val="24"/>
          <w:lang w:val="az-Latn-AZ"/>
        </w:rPr>
        <w:t xml:space="preserve">aktivlərin </w:t>
      </w:r>
      <w:r w:rsidRPr="009C2EF2">
        <w:rPr>
          <w:rFonts w:ascii="Times New Roman" w:hAnsi="Times New Roman"/>
          <w:color w:val="231F20"/>
          <w:sz w:val="24"/>
          <w:szCs w:val="24"/>
          <w:lang w:val="az-Latn-AZ"/>
        </w:rPr>
        <w:t>alqı-satqısı və qiymətdən düşmə ilə bağlı təhlillərin aparılması zamanı tələb olunur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rsidP="00CF60BC">
      <w:pPr>
        <w:pStyle w:val="a3"/>
        <w:numPr>
          <w:ilvl w:val="2"/>
          <w:numId w:val="26"/>
        </w:numPr>
        <w:tabs>
          <w:tab w:val="left" w:pos="965"/>
        </w:tabs>
        <w:kinsoku w:val="0"/>
        <w:overflowPunct w:val="0"/>
        <w:spacing w:line="250" w:lineRule="auto"/>
        <w:ind w:left="964" w:right="117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28032" behindDoc="0" locked="0" layoutInCell="0" allowOverlap="1">
                <wp:simplePos x="0" y="0"/>
                <wp:positionH relativeFrom="page">
                  <wp:posOffset>5276215</wp:posOffset>
                </wp:positionH>
                <wp:positionV relativeFrom="paragraph">
                  <wp:posOffset>123190</wp:posOffset>
                </wp:positionV>
                <wp:extent cx="152400" cy="3048635"/>
                <wp:effectExtent l="0" t="0" r="0" b="0"/>
                <wp:wrapNone/>
                <wp:docPr id="7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7" type="#_x0000_t202" style="position:absolute;left:0;text-align:left;margin-left:415.45pt;margin-top:9.7pt;width:12pt;height:240.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tikinti obyektinin qiymətləndirilməsini</w:t>
      </w:r>
      <w:r w:rsidR="003C64E0" w:rsidRPr="009C2EF2">
        <w:rPr>
          <w:rFonts w:ascii="Times New Roman" w:hAnsi="Times New Roman"/>
          <w:i/>
          <w:color w:val="231F20"/>
          <w:spacing w:val="-1"/>
          <w:sz w:val="24"/>
          <w:szCs w:val="24"/>
          <w:lang w:val="az-Latn-AZ"/>
        </w:rPr>
        <w:t xml:space="preserve"> tələb edən </w:t>
      </w:r>
      <w:r w:rsidR="003C64E0" w:rsidRPr="009C2EF2">
        <w:rPr>
          <w:rFonts w:ascii="Times New Roman" w:hAnsi="Times New Roman"/>
          <w:color w:val="231F20"/>
          <w:sz w:val="24"/>
          <w:szCs w:val="24"/>
          <w:lang w:val="az-Latn-AZ"/>
        </w:rPr>
        <w:t>digər rəsmi və ya hüquqi tədbirlər, məsələn, məcburi özgəninkiləşdirmə ilə bağlı olaraq.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4"/>
        </w:numPr>
        <w:tabs>
          <w:tab w:val="left" w:pos="681"/>
        </w:tabs>
        <w:kinsoku w:val="0"/>
        <w:overflowPunct w:val="0"/>
        <w:spacing w:line="250" w:lineRule="auto"/>
        <w:ind w:left="680" w:right="141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tikinti obyektini qiymətləndirərkən qiymətləndiricilər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və ya passivin növü üzrə tətbiq olunan standarta (məsələn, BQS 400 Daşınmaz Əmlak üzrə Maraqlar) </w:t>
      </w:r>
      <w:r w:rsidRPr="009C2EF2">
        <w:rPr>
          <w:rFonts w:ascii="Times New Roman" w:hAnsi="Times New Roman"/>
          <w:i/>
          <w:color w:val="231F20"/>
          <w:sz w:val="24"/>
          <w:szCs w:val="24"/>
          <w:lang w:val="az-Latn-AZ"/>
        </w:rPr>
        <w:t>əməl etməlidirlər.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4"/>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dəyər və ya tikinti obyektinin torpaq sahəsinin dəyəri başa çatmış layihədən əldə olunan gəlir və ya mənfəət və ya yaranacaq tikinti xərcləri ilə bağlı proqnozlardakı dəyişikliklərə qarşı olduqca həssas ola bilər. Bu, istifadə edilən metod və ya üsullardan asılı olmayaraq, əsas məsələ olaraq qalır. Lakin müxtəlif məlumatlar qiymətləndirmə tarixinə uyğun olaraq lazımi qaydada tədqiq edilir.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4"/>
        </w:numPr>
        <w:tabs>
          <w:tab w:val="left" w:pos="681"/>
        </w:tabs>
        <w:kinsoku w:val="0"/>
        <w:overflowPunct w:val="0"/>
        <w:spacing w:line="250" w:lineRule="auto"/>
        <w:ind w:left="680" w:right="103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həssaslıq, həmçinin, layihənin xərclərindəki və ya cari dəyər üzrə yekunlaşdırma dəyərindəki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dəyişikliklərin təsirinə də aiddir.  Tikinti layihəsinin icra olunduğu müddət ərzində dəyərdəki dəyişikliklərin istifadəçi ilə </w:t>
      </w:r>
      <w:r w:rsidRPr="009C2EF2">
        <w:rPr>
          <w:rFonts w:ascii="Times New Roman" w:hAnsi="Times New Roman"/>
          <w:i/>
          <w:color w:val="231F20"/>
          <w:spacing w:val="-1"/>
          <w:sz w:val="24"/>
          <w:szCs w:val="24"/>
          <w:lang w:val="az-Latn-AZ"/>
        </w:rPr>
        <w:t xml:space="preserve">bağlılığını </w:t>
      </w:r>
      <w:r w:rsidRPr="009C2EF2">
        <w:rPr>
          <w:rFonts w:ascii="Times New Roman" w:hAnsi="Times New Roman"/>
          <w:i/>
          <w:color w:val="231F20"/>
          <w:sz w:val="24"/>
          <w:szCs w:val="24"/>
          <w:lang w:val="az-Latn-AZ"/>
        </w:rPr>
        <w:t xml:space="preserve">müəyyənləşdirmək </w:t>
      </w:r>
      <w:r w:rsidRPr="009C2EF2">
        <w:rPr>
          <w:rFonts w:ascii="Times New Roman" w:hAnsi="Times New Roman"/>
          <w:i/>
          <w:color w:val="231F20"/>
          <w:spacing w:val="1"/>
          <w:sz w:val="24"/>
          <w:szCs w:val="24"/>
          <w:lang w:val="az-Latn-AZ"/>
        </w:rPr>
        <w:t xml:space="preserve">məqsədi </w:t>
      </w:r>
      <w:r w:rsidRPr="009C2EF2">
        <w:rPr>
          <w:rFonts w:ascii="Times New Roman" w:hAnsi="Times New Roman"/>
          <w:color w:val="231F20"/>
          <w:sz w:val="24"/>
          <w:szCs w:val="24"/>
          <w:lang w:val="az-Latn-AZ"/>
        </w:rPr>
        <w:t xml:space="preserve">ilə qiymətləndirmənin aparılması tələb olunduqda (məsələn, qiymətləndirmə kredit təminatı və ya layihənin əlverişliliyinin müəyyən edilməsi ilə bağlı </w:t>
      </w:r>
      <w:r w:rsidRPr="009C2EF2">
        <w:rPr>
          <w:rFonts w:ascii="Times New Roman" w:hAnsi="Times New Roman"/>
          <w:color w:val="231F20"/>
          <w:sz w:val="24"/>
          <w:szCs w:val="24"/>
          <w:lang w:val="az-Latn-AZ"/>
        </w:rPr>
        <w:lastRenderedPageBreak/>
        <w:t xml:space="preserve">olduqda) qiymətləndirici tikinti xərclərindəki və ya layihənin sərfəliliyi üzrə yekun dəyərdəki və qismən başa çatdırılmış tikilinin dəyərindəki mümkün dəyişikliklərin qeyri-mütənasib təsirini </w:t>
      </w:r>
      <w:r w:rsidRPr="009C2EF2">
        <w:rPr>
          <w:rFonts w:ascii="Times New Roman" w:hAnsi="Times New Roman"/>
          <w:i/>
          <w:color w:val="231F20"/>
          <w:sz w:val="24"/>
          <w:szCs w:val="24"/>
          <w:lang w:val="az-Latn-AZ"/>
        </w:rPr>
        <w:t>göstərməlidir</w:t>
      </w:r>
      <w:r w:rsidRPr="009C2EF2">
        <w:rPr>
          <w:rFonts w:ascii="Times New Roman" w:hAnsi="Times New Roman"/>
          <w:color w:val="231F20"/>
          <w:sz w:val="24"/>
          <w:szCs w:val="24"/>
          <w:lang w:val="az-Latn-AZ"/>
        </w:rPr>
        <w:t xml:space="preserve">. Bu </w:t>
      </w:r>
      <w:r w:rsidRPr="009C2EF2">
        <w:rPr>
          <w:rFonts w:ascii="Times New Roman" w:hAnsi="Times New Roman"/>
          <w:i/>
          <w:color w:val="231F20"/>
          <w:spacing w:val="1"/>
          <w:sz w:val="24"/>
          <w:szCs w:val="24"/>
          <w:lang w:val="az-Latn-AZ"/>
        </w:rPr>
        <w:t xml:space="preserve">məqsədlə </w:t>
      </w:r>
      <w:r w:rsidRPr="009C2EF2">
        <w:rPr>
          <w:rFonts w:ascii="Times New Roman" w:hAnsi="Times New Roman"/>
          <w:color w:val="231F20"/>
          <w:sz w:val="24"/>
          <w:szCs w:val="24"/>
          <w:lang w:val="az-Latn-AZ"/>
        </w:rPr>
        <w:t xml:space="preserve">həssaslıq təhlilinin aparılması, daha sonra isə uyğun izahatın verilməsi </w:t>
      </w:r>
      <w:r w:rsidRPr="009C2EF2">
        <w:rPr>
          <w:rFonts w:ascii="Times New Roman" w:hAnsi="Times New Roman"/>
          <w:i/>
          <w:color w:val="231F20"/>
          <w:spacing w:val="-1"/>
          <w:sz w:val="24"/>
          <w:szCs w:val="24"/>
          <w:lang w:val="az-Latn-AZ"/>
        </w:rPr>
        <w:t>faydalı ola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3"/>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3C64E0">
      <w:pPr>
        <w:pStyle w:val="a3"/>
        <w:numPr>
          <w:ilvl w:val="1"/>
          <w:numId w:val="23"/>
        </w:numPr>
        <w:tabs>
          <w:tab w:val="left" w:pos="681"/>
        </w:tabs>
        <w:kinsoku w:val="0"/>
        <w:overflowPunct w:val="0"/>
        <w:spacing w:before="122" w:line="250" w:lineRule="auto"/>
        <w:ind w:left="680" w:right="164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104 Dəyər Bazaları bölməsində qeyd olunur ki, qiymətləndirici tikinti obyektini qiymətləndirərkən müvafiq dəyər bazası (bazaları) </w:t>
      </w:r>
      <w:r w:rsidRPr="009C2EF2">
        <w:rPr>
          <w:rFonts w:ascii="Times New Roman" w:hAnsi="Times New Roman"/>
          <w:i/>
          <w:color w:val="231F20"/>
          <w:sz w:val="24"/>
          <w:szCs w:val="24"/>
          <w:lang w:val="az-Latn-AZ"/>
        </w:rPr>
        <w:t>seçməlidir</w:t>
      </w:r>
      <w:r w:rsidRPr="009C2EF2">
        <w:rPr>
          <w:rFonts w:ascii="Times New Roman" w:hAnsi="Times New Roman"/>
          <w:color w:val="231F20"/>
          <w:sz w:val="24"/>
          <w:szCs w:val="24"/>
          <w:lang w:val="az-Latn-AZ"/>
        </w:rPr>
        <w:t>.</w:t>
      </w:r>
    </w:p>
    <w:p w:rsidR="00D02DD9" w:rsidRPr="009C2EF2" w:rsidRDefault="003C64E0" w:rsidP="00537609">
      <w:pPr>
        <w:pStyle w:val="a3"/>
        <w:numPr>
          <w:ilvl w:val="1"/>
          <w:numId w:val="23"/>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obyektinin qiymətləndirilməsinə, başlıca olaraq layihə başa çatanda layihənin vəziyyəti və ya statusu ilə bağlı bir sıra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ehtimallar və xüsusi proqnozlar daxildir.  Məsələn, xüsusi proqnozlar tikintinin başa çatması və ya əmlakın tam şəkildə icarəyə verilməsi üzrə </w:t>
      </w:r>
      <w:r w:rsidRPr="009C2EF2">
        <w:rPr>
          <w:rFonts w:ascii="Times New Roman" w:hAnsi="Times New Roman"/>
          <w:i/>
          <w:color w:val="231F20"/>
          <w:spacing w:val="-1"/>
          <w:sz w:val="24"/>
          <w:szCs w:val="24"/>
          <w:lang w:val="az-Latn-AZ"/>
        </w:rPr>
        <w:t>verilə bilər</w:t>
      </w:r>
      <w:r w:rsidRPr="009C2EF2">
        <w:rPr>
          <w:rFonts w:ascii="Times New Roman" w:hAnsi="Times New Roman"/>
          <w:color w:val="231F20"/>
          <w:sz w:val="24"/>
          <w:szCs w:val="24"/>
          <w:lang w:val="az-Latn-AZ"/>
        </w:rPr>
        <w:t xml:space="preserve">. BQS 101 </w:t>
      </w:r>
      <w:r w:rsidRPr="009C2EF2">
        <w:rPr>
          <w:rFonts w:ascii="Times New Roman" w:hAnsi="Times New Roman"/>
          <w:i/>
          <w:color w:val="231F20"/>
          <w:spacing w:val="1"/>
          <w:sz w:val="24"/>
          <w:szCs w:val="24"/>
          <w:lang w:val="az-Latn-AZ"/>
        </w:rPr>
        <w:t>İşin Əhatə dairəsi</w:t>
      </w:r>
      <w:r w:rsidRPr="009C2EF2">
        <w:rPr>
          <w:rFonts w:ascii="Times New Roman" w:hAnsi="Times New Roman"/>
          <w:color w:val="231F20"/>
          <w:sz w:val="24"/>
          <w:szCs w:val="24"/>
          <w:lang w:val="az-Latn-AZ"/>
        </w:rPr>
        <w:t xml:space="preserve"> üzrə tələb olunduğu kimi qiymətləndirmə zamanı istifadə olunan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proqnozlar və xüsusi ehtimallar qiymətləndirmədə iştirak edən bütün tərəflərə </w:t>
      </w:r>
      <w:r w:rsidRPr="009C2EF2">
        <w:rPr>
          <w:rFonts w:ascii="Times New Roman" w:hAnsi="Times New Roman"/>
          <w:i/>
          <w:color w:val="231F20"/>
          <w:sz w:val="24"/>
          <w:szCs w:val="24"/>
          <w:lang w:val="az-Latn-AZ"/>
        </w:rPr>
        <w:t>bildirilməli</w:t>
      </w:r>
      <w:r w:rsidRPr="009C2EF2">
        <w:rPr>
          <w:rFonts w:ascii="Times New Roman" w:hAnsi="Times New Roman"/>
          <w:color w:val="231F20"/>
          <w:sz w:val="24"/>
          <w:szCs w:val="24"/>
          <w:lang w:val="az-Latn-AZ"/>
        </w:rPr>
        <w:t xml:space="preserve"> və işin əhatə dairəsi çərçivəsində razılaşdırılaraq </w:t>
      </w:r>
      <w:r w:rsidRPr="009C2EF2">
        <w:rPr>
          <w:rFonts w:ascii="Times New Roman" w:hAnsi="Times New Roman"/>
          <w:i/>
          <w:color w:val="231F20"/>
          <w:sz w:val="24"/>
          <w:szCs w:val="24"/>
          <w:lang w:val="az-Latn-AZ"/>
        </w:rPr>
        <w:t>təsdiq edilməlidir.</w:t>
      </w:r>
      <w:r w:rsidRPr="009C2EF2">
        <w:rPr>
          <w:rFonts w:ascii="Times New Roman" w:hAnsi="Times New Roman"/>
          <w:color w:val="231F20"/>
          <w:sz w:val="24"/>
          <w:szCs w:val="24"/>
          <w:lang w:val="az-Latn-AZ"/>
        </w:rPr>
        <w:t xml:space="preserve"> Qiymətləndirmənin nəticəsi üçüncü tərəflərin fəaliyyəti ilə </w:t>
      </w:r>
      <w:r w:rsidRPr="009C2EF2">
        <w:rPr>
          <w:rFonts w:ascii="Times New Roman" w:hAnsi="Times New Roman"/>
          <w:i/>
          <w:color w:val="231F20"/>
          <w:spacing w:val="-1"/>
          <w:sz w:val="24"/>
          <w:szCs w:val="24"/>
          <w:lang w:val="az-Latn-AZ"/>
        </w:rPr>
        <w:t>bağlı olduqda</w:t>
      </w:r>
      <w:r w:rsidRPr="009C2EF2">
        <w:rPr>
          <w:rFonts w:ascii="Times New Roman" w:hAnsi="Times New Roman"/>
          <w:color w:val="231F20"/>
          <w:sz w:val="24"/>
          <w:szCs w:val="24"/>
          <w:lang w:val="az-Latn-AZ"/>
        </w:rPr>
        <w:t xml:space="preserve"> qiymətləndirmə zamanı xüsusilə diqqətli olmaq </w:t>
      </w:r>
      <w:r w:rsidRPr="009C2EF2">
        <w:rPr>
          <w:rFonts w:ascii="Times New Roman" w:hAnsi="Times New Roman"/>
          <w:i/>
          <w:color w:val="231F20"/>
          <w:spacing w:val="-1"/>
          <w:sz w:val="24"/>
          <w:szCs w:val="24"/>
          <w:lang w:val="az-Latn-AZ"/>
        </w:rPr>
        <w:t>tələb oluna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5"/>
        <w:ind w:left="0"/>
        <w:rPr>
          <w:rFonts w:ascii="Times New Roman" w:hAnsi="Times New Roman"/>
          <w:sz w:val="24"/>
          <w:szCs w:val="24"/>
          <w:lang w:val="az-Latn-AZ"/>
        </w:rPr>
      </w:pPr>
    </w:p>
    <w:p w:rsidR="00D02DD9" w:rsidRPr="009C2EF2" w:rsidRDefault="003C64E0">
      <w:pPr>
        <w:pStyle w:val="a3"/>
        <w:kinsoku w:val="0"/>
        <w:overflowPunct w:val="0"/>
        <w:spacing w:before="80"/>
        <w:ind w:left="2790" w:right="3635"/>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89</w:t>
      </w:r>
    </w:p>
    <w:p w:rsidR="00D02DD9" w:rsidRPr="009C2EF2" w:rsidRDefault="00D02DD9">
      <w:pPr>
        <w:pStyle w:val="a3"/>
        <w:kinsoku w:val="0"/>
        <w:overflowPunct w:val="0"/>
        <w:spacing w:before="80"/>
        <w:ind w:left="2790" w:right="3635"/>
        <w:jc w:val="center"/>
        <w:rPr>
          <w:rFonts w:ascii="Times New Roman" w:hAnsi="Times New Roman"/>
          <w:color w:val="000000"/>
          <w:sz w:val="24"/>
          <w:szCs w:val="24"/>
          <w:lang w:val="az-Latn-AZ"/>
        </w:rPr>
        <w:sectPr w:rsidR="00D02DD9" w:rsidRPr="009C2EF2">
          <w:footerReference w:type="default" r:id="rId9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7840" behindDoc="1" locked="0" layoutInCell="0" allowOverlap="1">
                <wp:simplePos x="0" y="0"/>
                <wp:positionH relativeFrom="page">
                  <wp:posOffset>0</wp:posOffset>
                </wp:positionH>
                <wp:positionV relativeFrom="page">
                  <wp:posOffset>0</wp:posOffset>
                </wp:positionV>
                <wp:extent cx="432435" cy="8424545"/>
                <wp:effectExtent l="0" t="0" r="0" b="0"/>
                <wp:wrapNone/>
                <wp:docPr id="72"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6770E9" id="Freeform 197" o:spid="_x0000_s1026" style="position:absolute;margin-left:0;margin-top:0;width:34.05pt;height:663.3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BRP2el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23"/>
        </w:numPr>
        <w:tabs>
          <w:tab w:val="left" w:pos="1531"/>
        </w:tabs>
        <w:kinsoku w:val="0"/>
        <w:overflowPunct w:val="0"/>
        <w:spacing w:before="77"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Əsasən, tikinti obyektinin tik</w:t>
      </w:r>
      <w:r w:rsidR="00CF60BC" w:rsidRPr="009C2EF2">
        <w:rPr>
          <w:rFonts w:ascii="Times New Roman" w:hAnsi="Times New Roman"/>
          <w:color w:val="231F20"/>
          <w:sz w:val="24"/>
          <w:szCs w:val="24"/>
          <w:lang w:val="az-Latn-AZ"/>
        </w:rPr>
        <w:t>inti işinin</w:t>
      </w:r>
      <w:r w:rsidRPr="009C2EF2">
        <w:rPr>
          <w:rFonts w:ascii="Times New Roman" w:hAnsi="Times New Roman"/>
          <w:color w:val="231F20"/>
          <w:sz w:val="24"/>
          <w:szCs w:val="24"/>
          <w:lang w:val="az-Latn-AZ"/>
        </w:rPr>
        <w:t xml:space="preserve"> gələcəkdə icrasına təsir edə biləcək hər bir xüsusiyyətini müəyyən etmək, məsələn, torpağın tərkibini araşdırmaq mümkün olmur. Belə olduqda ehtimallara (məsələn, xərclərin </w:t>
      </w:r>
      <w:r w:rsidRPr="009C2EF2">
        <w:rPr>
          <w:rFonts w:ascii="Times New Roman" w:hAnsi="Times New Roman"/>
          <w:i/>
          <w:color w:val="231F20"/>
          <w:spacing w:val="1"/>
          <w:sz w:val="24"/>
          <w:szCs w:val="24"/>
          <w:lang w:val="az-Latn-AZ"/>
        </w:rPr>
        <w:t xml:space="preserve">kəskin </w:t>
      </w:r>
      <w:r w:rsidRPr="009C2EF2">
        <w:rPr>
          <w:rFonts w:ascii="Times New Roman" w:hAnsi="Times New Roman"/>
          <w:color w:val="231F20"/>
          <w:sz w:val="24"/>
          <w:szCs w:val="24"/>
          <w:lang w:val="az-Latn-AZ"/>
        </w:rPr>
        <w:t xml:space="preserve">şəkildə artmasına səbəb olan  qeyri-normal torpaq şəraitinin olmaması) əsaslanmaq daha uyğun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z w:val="24"/>
          <w:szCs w:val="24"/>
          <w:lang w:val="az-Latn-AZ"/>
        </w:rPr>
        <w:t xml:space="preserve"> Bu ehtimal </w:t>
      </w:r>
      <w:r w:rsidRPr="009C2EF2">
        <w:rPr>
          <w:rFonts w:ascii="Times New Roman" w:hAnsi="Times New Roman"/>
          <w:i/>
          <w:color w:val="231F20"/>
          <w:spacing w:val="1"/>
          <w:sz w:val="24"/>
          <w:szCs w:val="24"/>
          <w:lang w:val="az-Latn-AZ"/>
        </w:rPr>
        <w:t xml:space="preserve">iştirakçı </w:t>
      </w:r>
      <w:r w:rsidRPr="009C2EF2">
        <w:rPr>
          <w:rFonts w:ascii="Times New Roman" w:hAnsi="Times New Roman"/>
          <w:color w:val="231F20"/>
          <w:sz w:val="24"/>
          <w:szCs w:val="24"/>
          <w:lang w:val="az-Latn-AZ"/>
        </w:rPr>
        <w:t>tərəfindən irəli sürülmədikdə o, xüsusi ehtimal hesab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23"/>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29056" behindDoc="0" locked="0" layoutInCell="0" allowOverlap="1">
                <wp:simplePos x="0" y="0"/>
                <wp:positionH relativeFrom="page">
                  <wp:posOffset>151130</wp:posOffset>
                </wp:positionH>
                <wp:positionV relativeFrom="paragraph">
                  <wp:posOffset>1103630</wp:posOffset>
                </wp:positionV>
                <wp:extent cx="152400" cy="3048635"/>
                <wp:effectExtent l="0" t="0" r="0" b="0"/>
                <wp:wrapNone/>
                <wp:docPr id="7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28" type="#_x0000_t202" style="position:absolute;left:0;text-align:left;margin-left:11.9pt;margin-top:86.9pt;width:12pt;height:240.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rHsg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 xml:space="preserve">Layihənin təqdim edildiyi tarixdən sonra bazarda hər hansı dəyişiklik olduqda tikintisi davam etdirilən layihə artıq torpaqdan ən yaxşı və ən səmərəli istifadəni </w:t>
      </w:r>
      <w:r w:rsidR="003C64E0" w:rsidRPr="009C2EF2">
        <w:rPr>
          <w:rFonts w:ascii="Times New Roman" w:hAnsi="Times New Roman"/>
          <w:i/>
          <w:color w:val="231F20"/>
          <w:spacing w:val="-1"/>
          <w:sz w:val="24"/>
          <w:szCs w:val="24"/>
          <w:lang w:val="az-Latn-AZ"/>
        </w:rPr>
        <w:t>əks etdirməyəcək</w:t>
      </w:r>
      <w:r w:rsidR="003C64E0" w:rsidRPr="009C2EF2">
        <w:rPr>
          <w:rFonts w:ascii="Times New Roman" w:hAnsi="Times New Roman"/>
          <w:color w:val="231F20"/>
          <w:sz w:val="24"/>
          <w:szCs w:val="24"/>
          <w:lang w:val="az-Latn-AZ"/>
        </w:rPr>
        <w:t xml:space="preserve">. Belə olan hallarda  bazarda alıcı qismən başa çatdırılmış strukturları dağıtmaq və ya onları yeni layihəyə daxil etmək imkanına malik olduğu üçün layihənin başa çatdırılması ilə bağlı xərclər </w:t>
      </w:r>
      <w:r w:rsidR="003C64E0" w:rsidRPr="009C2EF2">
        <w:rPr>
          <w:rFonts w:ascii="Times New Roman" w:hAnsi="Times New Roman"/>
          <w:i/>
          <w:color w:val="231F20"/>
          <w:spacing w:val="-1"/>
          <w:sz w:val="24"/>
          <w:szCs w:val="24"/>
          <w:lang w:val="az-Latn-AZ"/>
        </w:rPr>
        <w:t>qeyri-müvafiq ola bilər.</w:t>
      </w:r>
      <w:r w:rsidR="003C64E0" w:rsidRPr="009C2EF2">
        <w:rPr>
          <w:rFonts w:ascii="Times New Roman" w:hAnsi="Times New Roman"/>
          <w:color w:val="231F20"/>
          <w:sz w:val="24"/>
          <w:szCs w:val="24"/>
          <w:lang w:val="az-Latn-AZ"/>
        </w:rPr>
        <w:t xml:space="preserve">  Tikintisi davam etdirilən əmlakın dəyəri alternativ layihənin cari dəyərini və həmin layihənin başa çatdırılması ilə bağlı xərc və riskləri əks etdirməlidir.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3"/>
        </w:numPr>
        <w:tabs>
          <w:tab w:val="left" w:pos="1531"/>
        </w:tabs>
        <w:kinsoku w:val="0"/>
        <w:overflowPunct w:val="0"/>
        <w:spacing w:line="250" w:lineRule="auto"/>
        <w:ind w:right="120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Bəzi tikinti ərazilərində əmlak xüsusi istifadə və ya işgüzar fəaliyyət/ kommersiya fəaliyyəti ilə sıx şəkildə əlaqəlidir və hazır əmlakın xüsusi və davamlı səviyyələrdə mübadilə edilə bilməsi ehtimalı mövcuddur. Belə hallarda qiymətləndirici, həmçinin, BQS 200 Müəssisə və müəssisənin iştirak payı bölməsinin və müvafiq olduqda BQS 210 Qeyri-maddi </w:t>
      </w:r>
      <w:r w:rsidRPr="009C2EF2">
        <w:rPr>
          <w:rFonts w:ascii="Times New Roman" w:hAnsi="Times New Roman"/>
          <w:i/>
          <w:color w:val="231F20"/>
          <w:spacing w:val="-1"/>
          <w:sz w:val="24"/>
          <w:szCs w:val="24"/>
          <w:lang w:val="az-Latn-AZ"/>
        </w:rPr>
        <w:t xml:space="preserve">Aktivlər </w:t>
      </w:r>
      <w:r w:rsidRPr="009C2EF2">
        <w:rPr>
          <w:rFonts w:ascii="Times New Roman" w:hAnsi="Times New Roman"/>
          <w:color w:val="231F20"/>
          <w:spacing w:val="-1"/>
          <w:sz w:val="24"/>
          <w:szCs w:val="24"/>
          <w:lang w:val="az-Latn-AZ"/>
        </w:rPr>
        <w:t xml:space="preserve">bölməsinin tələblərinə </w:t>
      </w:r>
      <w:r w:rsidRPr="009C2EF2">
        <w:rPr>
          <w:rFonts w:ascii="Times New Roman" w:hAnsi="Times New Roman"/>
          <w:i/>
          <w:color w:val="231F20"/>
          <w:sz w:val="24"/>
          <w:szCs w:val="24"/>
          <w:lang w:val="az-Latn-AZ"/>
        </w:rPr>
        <w:t>əməl etməlidir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2"/>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3C64E0">
      <w:pPr>
        <w:pStyle w:val="a3"/>
        <w:numPr>
          <w:ilvl w:val="1"/>
          <w:numId w:val="22"/>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Daşınmaz əmlak üzrə marağı qiymətləndirərkən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bölməsində göstərilən hər üç qiymətləndirmə yanaşması tətbiq oluna bilər. tikinti obyektinin qiymətləndirilməsi ilə bağlı iki əsas yanaşma mövcuddur. Bunlar aşağıdakılardır:-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2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 (bax: 50-ci bölmə)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22"/>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bazar yanaşması, gəlir yanaşması və xərc yanaşmasının elementlərini özündə birləşdirən qalıq metodu (bax: 40-70-ci bölmələr). Bu, tikinti obyektinin qalıq dəyərini müəyyən etmək üçün başa çatdırılmış tikinti işinin ümumi dəyərinə, tikinti xərclərindən tutulmalara və tikintini həyata keçirən şəxsin əldə etdiyi gəlirə əsaslanır (bax: 90-cı bölmə).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2"/>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standartın tələblərinə əlavə olaraq yanaşma və üsul seçərkən qiymətləndirici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pacing w:val="1"/>
          <w:sz w:val="24"/>
          <w:szCs w:val="24"/>
          <w:lang w:val="az-Latn-AZ"/>
        </w:rPr>
        <w:t xml:space="preserve">bölməsinin, o cümlədən, 10.3-cü bəndin şərtlərini </w:t>
      </w:r>
      <w:r w:rsidRPr="009C2EF2">
        <w:rPr>
          <w:rFonts w:ascii="Times New Roman" w:hAnsi="Times New Roman"/>
          <w:i/>
          <w:color w:val="231F20"/>
          <w:sz w:val="24"/>
          <w:szCs w:val="24"/>
          <w:lang w:val="az-Latn-AZ"/>
        </w:rPr>
        <w:t>nəzərə almalıdır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2"/>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İstifadə olunan qiymətləndirmə yanaşması tələb olunan dəyər bazası, həmçinin, xüsusi fakt və vəziyyətlərdən, məsələn, aparılan ən son əməliyyatların səviyyəsi, tikinti prosesinin mərhələsi və  layihənin icrasına başlanıldıqdan sonra əmlak bazarlarında baş vermiş dəyişikliklərdən asılı olacaq. Qiymətləndirmə yanaşması hər zaman bu vəziyyətlərə tam şəkildə </w:t>
      </w:r>
      <w:r w:rsidRPr="009C2EF2">
        <w:rPr>
          <w:rFonts w:ascii="Times New Roman" w:hAnsi="Times New Roman"/>
          <w:i/>
          <w:color w:val="231F20"/>
          <w:spacing w:val="1"/>
          <w:sz w:val="24"/>
          <w:szCs w:val="24"/>
          <w:lang w:val="az-Latn-AZ"/>
        </w:rPr>
        <w:t>uyğun olmalıdır</w:t>
      </w:r>
      <w:r w:rsidRPr="009C2EF2">
        <w:rPr>
          <w:rFonts w:ascii="Times New Roman" w:hAnsi="Times New Roman"/>
          <w:color w:val="231F20"/>
          <w:sz w:val="24"/>
          <w:szCs w:val="24"/>
          <w:lang w:val="az-Latn-AZ"/>
        </w:rPr>
        <w:t xml:space="preserve">. Bu səbəbdən, ən </w:t>
      </w:r>
      <w:r w:rsidR="00CF60BC" w:rsidRPr="009C2EF2">
        <w:rPr>
          <w:rFonts w:ascii="Times New Roman" w:hAnsi="Times New Roman"/>
          <w:color w:val="231F20"/>
          <w:sz w:val="24"/>
          <w:szCs w:val="24"/>
          <w:lang w:val="az-Latn-AZ"/>
        </w:rPr>
        <w:t>səmərəli</w:t>
      </w:r>
      <w:r w:rsidRPr="009C2EF2">
        <w:rPr>
          <w:rFonts w:ascii="Times New Roman" w:hAnsi="Times New Roman"/>
          <w:color w:val="231F20"/>
          <w:sz w:val="24"/>
          <w:szCs w:val="24"/>
          <w:lang w:val="az-Latn-AZ"/>
        </w:rPr>
        <w:t xml:space="preserve"> üsulu seçərkən fikir mübadiləsi aparmaq olduqca zəruridir.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1"/>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3C64E0">
      <w:pPr>
        <w:pStyle w:val="a3"/>
        <w:numPr>
          <w:ilvl w:val="1"/>
          <w:numId w:val="21"/>
        </w:numPr>
        <w:tabs>
          <w:tab w:val="left" w:pos="1531"/>
        </w:tabs>
        <w:kinsoku w:val="0"/>
        <w:overflowPunct w:val="0"/>
        <w:spacing w:before="122" w:line="250" w:lineRule="auto"/>
        <w:ind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obyektinin bəzi növləri kifayət qədər homogen ola və qiymətləndirmə aparılan zaman  birbaşa müqayisə üçün ən son satışlardan əldə olunan məlumatların mövcud olması məqsədilə bazarda mübadilə edilə bilər.</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48"/>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90</w:t>
      </w:r>
    </w:p>
    <w:p w:rsidR="00D02DD9" w:rsidRPr="009C2EF2" w:rsidRDefault="00D02DD9">
      <w:pPr>
        <w:pStyle w:val="a3"/>
        <w:kinsoku w:val="0"/>
        <w:overflowPunct w:val="0"/>
        <w:spacing w:before="80"/>
        <w:ind w:left="4185" w:right="4348"/>
        <w:jc w:val="center"/>
        <w:rPr>
          <w:rFonts w:ascii="Times New Roman" w:hAnsi="Times New Roman"/>
          <w:color w:val="000000"/>
          <w:sz w:val="24"/>
          <w:szCs w:val="24"/>
          <w:lang w:val="az-Latn-AZ"/>
        </w:rPr>
        <w:sectPr w:rsidR="00D02DD9" w:rsidRPr="009C2EF2">
          <w:footerReference w:type="default" r:id="rId9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8864" behindDoc="1" locked="0" layoutInCell="0" allowOverlap="1">
                <wp:simplePos x="0" y="0"/>
                <wp:positionH relativeFrom="page">
                  <wp:posOffset>5183505</wp:posOffset>
                </wp:positionH>
                <wp:positionV relativeFrom="page">
                  <wp:posOffset>0</wp:posOffset>
                </wp:positionV>
                <wp:extent cx="431800" cy="8423910"/>
                <wp:effectExtent l="0" t="0" r="0" b="0"/>
                <wp:wrapNone/>
                <wp:docPr id="7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8769AA" id="Freeform 199" o:spid="_x0000_s1026" style="position:absolute;margin-left:408.15pt;margin-top:0;width:34pt;height:663.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thQCx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8" w:right="3725"/>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numPr>
          <w:ilvl w:val="1"/>
          <w:numId w:val="21"/>
        </w:numPr>
        <w:tabs>
          <w:tab w:val="left" w:pos="681"/>
        </w:tabs>
        <w:kinsoku w:val="0"/>
        <w:overflowPunct w:val="0"/>
        <w:spacing w:before="77" w:line="250" w:lineRule="auto"/>
        <w:ind w:left="680"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Əksər bazarlarda bazar yanaşması təklif olunan təkmilləşdirmə işləri heterogen olduqda daha böyük və ya daha mürəkkəb tikinti obyekti və ya daha kiçik əmlaklar üzrə məhdudiyyətlər </w:t>
      </w:r>
      <w:r w:rsidRPr="009C2EF2">
        <w:rPr>
          <w:rFonts w:ascii="Times New Roman" w:hAnsi="Times New Roman"/>
          <w:i/>
          <w:color w:val="231F20"/>
          <w:spacing w:val="-1"/>
          <w:sz w:val="24"/>
          <w:szCs w:val="24"/>
          <w:lang w:val="az-Latn-AZ"/>
        </w:rPr>
        <w:t>tətbiq edə bilər</w:t>
      </w:r>
      <w:r w:rsidRPr="009C2EF2">
        <w:rPr>
          <w:rFonts w:ascii="Times New Roman" w:hAnsi="Times New Roman"/>
          <w:color w:val="231F20"/>
          <w:sz w:val="24"/>
          <w:szCs w:val="24"/>
          <w:lang w:val="az-Latn-AZ"/>
        </w:rPr>
        <w:t xml:space="preserve">.  Çünki düzgün şəkildə uyğunlaşdırılmış bazar sübutu qiymətləndirmə zamanı bir çox fərqli göstərici üçün </w:t>
      </w:r>
      <w:r w:rsidRPr="009C2EF2">
        <w:rPr>
          <w:rFonts w:ascii="Times New Roman" w:hAnsi="Times New Roman"/>
          <w:i/>
          <w:color w:val="231F20"/>
          <w:spacing w:val="-1"/>
          <w:sz w:val="24"/>
          <w:szCs w:val="24"/>
          <w:lang w:val="az-Latn-AZ"/>
        </w:rPr>
        <w:t>əsas hesab olunsa da</w:t>
      </w:r>
      <w:r w:rsidRPr="009C2EF2">
        <w:rPr>
          <w:rFonts w:ascii="Times New Roman" w:hAnsi="Times New Roman"/>
          <w:color w:val="231F20"/>
          <w:sz w:val="24"/>
          <w:szCs w:val="24"/>
          <w:lang w:val="az-Latn-AZ"/>
        </w:rPr>
        <w:t xml:space="preserve">, müxtəlif əmlaklar arasındakı fərqli göstəricilərin sayı onların müqayisəsinə imkan yaratmır (Bax: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20.5-ci bölmə).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21"/>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0080" behindDoc="0" locked="0" layoutInCell="0" allowOverlap="1">
                <wp:simplePos x="0" y="0"/>
                <wp:positionH relativeFrom="page">
                  <wp:posOffset>5276215</wp:posOffset>
                </wp:positionH>
                <wp:positionV relativeFrom="paragraph">
                  <wp:posOffset>1103630</wp:posOffset>
                </wp:positionV>
                <wp:extent cx="152400" cy="3048635"/>
                <wp:effectExtent l="0" t="0" r="0" b="0"/>
                <wp:wrapNone/>
                <wp:docPr id="6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29" type="#_x0000_t202" style="position:absolute;left:0;text-align:left;margin-left:415.45pt;margin-top:86.9pt;width:12pt;height:240.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Təkmilləşdirmə işinin başlanıldığı, lakin başa çatdırılmadığı tikinti obyekti ilə bağlı bazar yanaşmasının tətbiqi hətta daha problemli məsələdir. Belə əmlaklar tikinti obyektinin sahibi olan müəssisənin bir hissəsi kimi ötürülmə və ya satıcının müflis olması və ya müflisləşmə ilə üzləşməsi səbəbindən layihənin icrasını yekunlaşdırmağa qadir olmadığı hallar istisna olmaqla qismən başa çatdırılmış vəziyyətdə nadir hallarda </w:t>
      </w:r>
      <w:r w:rsidR="003C64E0" w:rsidRPr="009C2EF2">
        <w:rPr>
          <w:rFonts w:ascii="Times New Roman" w:hAnsi="Times New Roman"/>
          <w:i/>
          <w:color w:val="231F20"/>
          <w:sz w:val="24"/>
          <w:szCs w:val="24"/>
          <w:lang w:val="az-Latn-AZ"/>
        </w:rPr>
        <w:t xml:space="preserve">iştirakçılar </w:t>
      </w:r>
      <w:r w:rsidR="003C64E0" w:rsidRPr="009C2EF2">
        <w:rPr>
          <w:rFonts w:ascii="Times New Roman" w:hAnsi="Times New Roman"/>
          <w:color w:val="231F20"/>
          <w:spacing w:val="-1"/>
          <w:sz w:val="24"/>
          <w:szCs w:val="24"/>
          <w:lang w:val="az-Latn-AZ"/>
        </w:rPr>
        <w:t>arasında ötürülə bilər.   Hətta az da olsa qiymətləndirmə tarixinə yaxın tarixdə qismən başa çatdırılmış digər bir tikinti obyektinin ötürülməsi ilə bağlı sübut olsa da, əmlaklar arasındakı bütün oxşarlıqlara baxmayaraq işin natamam qalmış hissəsinin həcmi fərqli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21"/>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Bazar yanaşması qalıq metodu (ətraflı şəkildə bölmə 90-da) ilə tələb olunan məlumatlardan biri kimi başa çatdırılmış əmlakın dəyərini müəyyən etmək üçün </w:t>
      </w:r>
      <w:r w:rsidRPr="009C2EF2">
        <w:rPr>
          <w:rFonts w:ascii="Times New Roman" w:hAnsi="Times New Roman"/>
          <w:i/>
          <w:color w:val="231F20"/>
          <w:spacing w:val="-2"/>
          <w:sz w:val="24"/>
          <w:szCs w:val="24"/>
          <w:lang w:val="az-Latn-AZ"/>
        </w:rPr>
        <w:t>uyğun ola bilər</w:t>
      </w:r>
      <w:r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20"/>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3C64E0">
      <w:pPr>
        <w:pStyle w:val="a3"/>
        <w:numPr>
          <w:ilvl w:val="1"/>
          <w:numId w:val="20"/>
        </w:numPr>
        <w:tabs>
          <w:tab w:val="left" w:pos="681"/>
        </w:tabs>
        <w:kinsoku w:val="0"/>
        <w:overflowPunct w:val="0"/>
        <w:spacing w:before="122" w:line="250" w:lineRule="auto"/>
        <w:ind w:left="680"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Bəzi bazarlarda tikinti obyektinin qalıq dəyərinin müəyyənləşdirilməsi pul axını modelindən istifadəyə </w:t>
      </w:r>
      <w:r w:rsidRPr="009C2EF2">
        <w:rPr>
          <w:rFonts w:ascii="Times New Roman" w:hAnsi="Times New Roman"/>
          <w:i/>
          <w:color w:val="231F20"/>
          <w:spacing w:val="-1"/>
          <w:sz w:val="24"/>
          <w:szCs w:val="24"/>
          <w:lang w:val="az-Latn-AZ"/>
        </w:rPr>
        <w:t>əsaslana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20"/>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Gəlir yanaşması qalıq metodu üzrə tələb olunan məlumatlardan biri kimi hazır əmlakın dəyərinin müəyyənləşdirilməsi üçün </w:t>
      </w:r>
      <w:r w:rsidRPr="009C2EF2">
        <w:rPr>
          <w:rFonts w:ascii="Times New Roman" w:hAnsi="Times New Roman"/>
          <w:i/>
          <w:color w:val="231F20"/>
          <w:spacing w:val="-1"/>
          <w:sz w:val="24"/>
          <w:szCs w:val="24"/>
          <w:lang w:val="az-Latn-AZ"/>
        </w:rPr>
        <w:t>uyğun ola bilə</w:t>
      </w:r>
      <w:r w:rsidRPr="009C2EF2">
        <w:rPr>
          <w:rFonts w:ascii="Times New Roman" w:hAnsi="Times New Roman"/>
          <w:color w:val="231F20"/>
          <w:sz w:val="24"/>
          <w:szCs w:val="24"/>
          <w:lang w:val="az-Latn-AZ"/>
        </w:rPr>
        <w:t xml:space="preserve">r. Qalıq metodu üzrə bölmə bu barədə </w:t>
      </w:r>
      <w:r w:rsidR="00CF60BC" w:rsidRPr="009C2EF2">
        <w:rPr>
          <w:rFonts w:ascii="Times New Roman" w:hAnsi="Times New Roman"/>
          <w:color w:val="231F20"/>
          <w:sz w:val="24"/>
          <w:szCs w:val="24"/>
          <w:lang w:val="az-Latn-AZ"/>
        </w:rPr>
        <w:t>müfəssəl</w:t>
      </w:r>
      <w:r w:rsidRPr="009C2EF2">
        <w:rPr>
          <w:rFonts w:ascii="Times New Roman" w:hAnsi="Times New Roman"/>
          <w:color w:val="231F20"/>
          <w:sz w:val="24"/>
          <w:szCs w:val="24"/>
          <w:lang w:val="az-Latn-AZ"/>
        </w:rPr>
        <w:t xml:space="preserve"> məlumat əks etdirir (bax: 90-cı bölmə).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pPr>
        <w:pStyle w:val="a3"/>
        <w:numPr>
          <w:ilvl w:val="1"/>
          <w:numId w:val="19"/>
        </w:numPr>
        <w:tabs>
          <w:tab w:val="left" w:pos="681"/>
        </w:tabs>
        <w:kinsoku w:val="0"/>
        <w:overflowPunct w:val="0"/>
        <w:spacing w:before="122" w:line="250" w:lineRule="auto"/>
        <w:ind w:left="680" w:right="1486"/>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Tikinti xərclərinin müəyyənləşdirilməsi qalıq yanaşmasının (bax: 90.5-ci bənd) əsas komponentidir.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9"/>
        </w:numPr>
        <w:tabs>
          <w:tab w:val="left" w:pos="681"/>
        </w:tabs>
        <w:kinsoku w:val="0"/>
        <w:overflowPunct w:val="0"/>
        <w:spacing w:line="250" w:lineRule="auto"/>
        <w:ind w:left="680" w:right="106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 həmçinin, müstəsna olaraq tikinti obyektinin dəyərinin göstərilməsi üçün bir vasitə kimi, məsələn, tikintinin başaçatdırılma üçün heç bir fəal bazarın olmadığı halda binanın və ya digər strukturun təklif olunan layihəsi kimi </w:t>
      </w:r>
      <w:r w:rsidRPr="009C2EF2">
        <w:rPr>
          <w:rFonts w:ascii="Times New Roman" w:hAnsi="Times New Roman"/>
          <w:i/>
          <w:color w:val="231F20"/>
          <w:spacing w:val="-1"/>
          <w:sz w:val="24"/>
          <w:szCs w:val="24"/>
          <w:lang w:val="az-Latn-AZ"/>
        </w:rPr>
        <w:t>istifadə oluna bilər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19"/>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yanaşmasının əsaslandığı iqtisadi prinsip ondan ibarətdir ki, bir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üçün bənzər faydalılığa malik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yaradarkən tələb olunan məbləğ xaricində heç bir əlavə ödəniş edilməməlidir. Bu prinsipi tikinti obyekti ilə bağlı tətbiq etmək üçün qiymətləndirici işin icrasından qiymətləndirilən əmlakın tikintisindən əldə oluna biləcək qədər mənfəəti qazanmaq potensialına malik oxşar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əldə olunması zamanı perspektivli alıcının səbəb olduğu xərci </w:t>
      </w:r>
      <w:r w:rsidRPr="009C2EF2">
        <w:rPr>
          <w:rFonts w:ascii="Times New Roman" w:hAnsi="Times New Roman"/>
          <w:i/>
          <w:color w:val="231F20"/>
          <w:sz w:val="24"/>
          <w:szCs w:val="24"/>
          <w:lang w:val="az-Latn-AZ"/>
        </w:rPr>
        <w:t>nəzərə almalıdır</w:t>
      </w:r>
      <w:r w:rsidRPr="009C2EF2">
        <w:rPr>
          <w:rFonts w:ascii="Times New Roman" w:hAnsi="Times New Roman"/>
          <w:color w:val="231F20"/>
          <w:sz w:val="24"/>
          <w:szCs w:val="24"/>
          <w:lang w:val="az-Latn-AZ"/>
        </w:rPr>
        <w:t>.  Lakin qiymətləndirilən əmlaka təsir edən qeyri-adi vəziyyətlər istisna olmaqla hipotetik alternativlə bağlı olaraq proqnozlaşdırılan xərclərin müəyyən edilməsi və təklif olunan layihənin təhlili prosesində</w:t>
      </w:r>
      <w:r w:rsidR="00C11094" w:rsidRPr="009C2EF2">
        <w:rPr>
          <w:rFonts w:ascii="Times New Roman" w:hAnsi="Times New Roman"/>
          <w:color w:val="231F20"/>
          <w:sz w:val="24"/>
          <w:szCs w:val="24"/>
          <w:lang w:val="az-Latn-AZ"/>
        </w:rPr>
        <w:t xml:space="preserve"> </w:t>
      </w:r>
      <w:r w:rsidRPr="009C2EF2">
        <w:rPr>
          <w:rFonts w:ascii="Times New Roman" w:hAnsi="Times New Roman"/>
          <w:color w:val="231F20"/>
          <w:sz w:val="24"/>
          <w:szCs w:val="24"/>
          <w:lang w:val="az-Latn-AZ"/>
        </w:rPr>
        <w:t xml:space="preserve">yuxarıda qeyd olunduğu kimi bazar yanaşması və ya qalıq metodu (qiymətləndirilən əmlaka hansı birbaşa tətbiq olunubsa) səmərəli şəkildə yenidən tətbiq olunacaq.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ind w:left="2875"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91</w:t>
      </w:r>
    </w:p>
    <w:p w:rsidR="00D02DD9" w:rsidRPr="009C2EF2" w:rsidRDefault="00D02DD9">
      <w:pPr>
        <w:pStyle w:val="a3"/>
        <w:kinsoku w:val="0"/>
        <w:overflowPunct w:val="0"/>
        <w:ind w:left="2875" w:right="3725"/>
        <w:jc w:val="center"/>
        <w:rPr>
          <w:rFonts w:ascii="Times New Roman" w:hAnsi="Times New Roman"/>
          <w:color w:val="000000"/>
          <w:sz w:val="24"/>
          <w:szCs w:val="24"/>
          <w:lang w:val="az-Latn-AZ"/>
        </w:rPr>
        <w:sectPr w:rsidR="00D02DD9" w:rsidRPr="009C2EF2">
          <w:footerReference w:type="default" r:id="rId9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49888" behindDoc="1" locked="0" layoutInCell="0" allowOverlap="1">
                <wp:simplePos x="0" y="0"/>
                <wp:positionH relativeFrom="page">
                  <wp:posOffset>0</wp:posOffset>
                </wp:positionH>
                <wp:positionV relativeFrom="page">
                  <wp:posOffset>0</wp:posOffset>
                </wp:positionV>
                <wp:extent cx="432435" cy="8424545"/>
                <wp:effectExtent l="0" t="0" r="0" b="0"/>
                <wp:wrapNone/>
                <wp:docPr id="6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FD64BE" id="Freeform 201" o:spid="_x0000_s1026" style="position:absolute;margin-left:0;margin-top:0;width:34.05pt;height:663.3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Ad4avx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CF60BC">
      <w:pPr>
        <w:pStyle w:val="a3"/>
        <w:numPr>
          <w:ilvl w:val="1"/>
          <w:numId w:val="19"/>
        </w:numPr>
        <w:tabs>
          <w:tab w:val="left" w:pos="1531"/>
        </w:tabs>
        <w:kinsoku w:val="0"/>
        <w:overflowPunct w:val="0"/>
        <w:spacing w:before="77" w:line="250" w:lineRule="auto"/>
        <w:ind w:right="66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obyekti üçün xərc yanaşmasının tətbiqi ilə bağlı digər çətinlik onun  perspektivli alıcı üçün "faydalılıq" hesab olunan mənfəət səviyyəsinin müəyyənləşdirilməsindən ibarətdir. </w:t>
      </w:r>
      <w:r w:rsidRPr="009C2EF2">
        <w:rPr>
          <w:rFonts w:ascii="Times New Roman" w:hAnsi="Times New Roman"/>
          <w:color w:val="231F20"/>
          <w:spacing w:val="1"/>
          <w:sz w:val="24"/>
          <w:szCs w:val="24"/>
          <w:lang w:val="az-Latn-AZ"/>
        </w:rPr>
        <w:t xml:space="preserve">Layihənin icrasına başlayarkən müəssisənin müəyyən </w:t>
      </w:r>
      <w:r w:rsidRPr="009C2EF2">
        <w:rPr>
          <w:rFonts w:ascii="Times New Roman" w:hAnsi="Times New Roman"/>
          <w:i/>
          <w:color w:val="231F20"/>
          <w:spacing w:val="-1"/>
          <w:sz w:val="24"/>
          <w:szCs w:val="24"/>
          <w:lang w:val="az-Latn-AZ"/>
        </w:rPr>
        <w:t xml:space="preserve">mənfəət planlaşdırmasına baxmayaraq </w:t>
      </w:r>
      <w:r w:rsidRPr="009C2EF2">
        <w:rPr>
          <w:rFonts w:ascii="Times New Roman" w:hAnsi="Times New Roman"/>
          <w:color w:val="231F20"/>
          <w:spacing w:val="1"/>
          <w:sz w:val="24"/>
          <w:szCs w:val="24"/>
          <w:lang w:val="az-Latn-AZ"/>
        </w:rPr>
        <w:t xml:space="preserve">faktiki mənfəət iş başa çatdırıldıqdan sonra əmlakın dəyəri ilə müəyyən olunur. Bundan əlavə, əmlakın tikintisi başa çatmaq üzrə olanda tikinti ilə bağlı bəzi risklər alıcının tələb olunan gəlirinə təsir etməklə </w:t>
      </w:r>
      <w:r w:rsidRPr="009C2EF2">
        <w:rPr>
          <w:rFonts w:ascii="Times New Roman" w:hAnsi="Times New Roman"/>
          <w:i/>
          <w:color w:val="231F20"/>
          <w:spacing w:val="-1"/>
          <w:sz w:val="24"/>
          <w:szCs w:val="24"/>
          <w:lang w:val="az-Latn-AZ"/>
        </w:rPr>
        <w:t>azala bilər</w:t>
      </w:r>
      <w:r w:rsidRPr="009C2EF2">
        <w:rPr>
          <w:rFonts w:ascii="Times New Roman" w:hAnsi="Times New Roman"/>
          <w:color w:val="231F20"/>
          <w:spacing w:val="1"/>
          <w:sz w:val="24"/>
          <w:szCs w:val="24"/>
          <w:lang w:val="az-Latn-AZ"/>
        </w:rPr>
        <w:t>. Sabit qiymət razılaşdırılmadığı təqdirdə mənfəət torpaq sahəsinin əldə olunması və təkmilləşdirmə işlərinin başlanılması zamanı yaranan xərclərlə müəyyənləşdirilmir.</w:t>
      </w:r>
    </w:p>
    <w:p w:rsidR="00D02DD9" w:rsidRPr="009C2EF2" w:rsidRDefault="00CF60BC">
      <w:pPr>
        <w:pStyle w:val="Heading41"/>
        <w:numPr>
          <w:ilvl w:val="0"/>
          <w:numId w:val="18"/>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T</w:t>
      </w:r>
      <w:r w:rsidR="003C64E0" w:rsidRPr="009C2EF2">
        <w:rPr>
          <w:rFonts w:ascii="Times New Roman" w:hAnsi="Times New Roman"/>
          <w:color w:val="231F20"/>
          <w:spacing w:val="1"/>
          <w:sz w:val="24"/>
          <w:szCs w:val="24"/>
          <w:lang w:val="az-Latn-AZ"/>
        </w:rPr>
        <w:t>ikinti obyekti üzrə xüsusi mülahizələr</w:t>
      </w:r>
    </w:p>
    <w:p w:rsidR="00D02DD9" w:rsidRPr="009C2EF2" w:rsidRDefault="003C64E0">
      <w:pPr>
        <w:pStyle w:val="a3"/>
        <w:numPr>
          <w:ilvl w:val="1"/>
          <w:numId w:val="18"/>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Aşağıdakı bölmələr tikinti obyektinin qiymətləndirilməsinə müvafiq olan mövzuların natamam siyahısını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Metodu (90-cı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pPr>
        <w:pStyle w:val="a3"/>
        <w:numPr>
          <w:ilvl w:val="2"/>
          <w:numId w:val="1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1104" behindDoc="0" locked="0" layoutInCell="0" allowOverlap="1">
                <wp:simplePos x="0" y="0"/>
                <wp:positionH relativeFrom="page">
                  <wp:posOffset>151130</wp:posOffset>
                </wp:positionH>
                <wp:positionV relativeFrom="paragraph">
                  <wp:posOffset>-6985</wp:posOffset>
                </wp:positionV>
                <wp:extent cx="152400" cy="3048635"/>
                <wp:effectExtent l="0" t="0" r="0" b="0"/>
                <wp:wrapNone/>
                <wp:docPr id="6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30" type="#_x0000_t202" style="position:absolute;left:0;text-align:left;margin-left:11.9pt;margin-top:-.55pt;width:12pt;height:240.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LNsg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Mövcud </w: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pacing w:val="1"/>
          <w:sz w:val="24"/>
          <w:szCs w:val="24"/>
          <w:lang w:val="az-Latn-AZ"/>
        </w:rPr>
        <w:t>(100-cü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hesabatı üzrə xüsusi mülahizələr (110-cü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8"/>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Təminatlı kredit üzrə xüsusi mülahizələr (120-ci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1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Qalıq üsulu</w:t>
      </w: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metodu layihənin başa çatdırılması ilə bağlı riskləri nəzərə almaqla layihə başa çatdıqdan sonra layihənin proqnozlaşdırılan dəyərindən tikinti işlərinin icrası üçün tələb olunan bütün hesablanmış və ya proqnozlaşdırılan xərcləri çıxdıqdan sonra qalıq məbləği müəyyən etmək üçün tətbiq olunur.  Bu, qalıq dəyəri adlanır. Qalıq metodu ilə müəyyən olunan qalıq dəyəri cari vəziyyətində tikinti obyektinin bazar dəyərinə bərabər </w:t>
      </w:r>
      <w:r w:rsidRPr="009C2EF2">
        <w:rPr>
          <w:rFonts w:ascii="Times New Roman" w:hAnsi="Times New Roman"/>
          <w:i/>
          <w:color w:val="231F20"/>
          <w:spacing w:val="-1"/>
          <w:sz w:val="24"/>
          <w:szCs w:val="24"/>
          <w:lang w:val="az-Latn-AZ"/>
        </w:rPr>
        <w:t xml:space="preserve">ola </w:t>
      </w:r>
      <w:r w:rsidRPr="009C2EF2">
        <w:rPr>
          <w:rFonts w:ascii="Times New Roman" w:hAnsi="Times New Roman"/>
          <w:color w:val="231F20"/>
          <w:sz w:val="24"/>
          <w:szCs w:val="24"/>
          <w:lang w:val="az-Latn-AZ"/>
        </w:rPr>
        <w:t xml:space="preserve">və ya </w:t>
      </w:r>
      <w:r w:rsidRPr="009C2EF2">
        <w:rPr>
          <w:rFonts w:ascii="Times New Roman" w:hAnsi="Times New Roman"/>
          <w:i/>
          <w:color w:val="231F20"/>
          <w:spacing w:val="-1"/>
          <w:sz w:val="24"/>
          <w:szCs w:val="24"/>
          <w:lang w:val="az-Latn-AZ"/>
        </w:rPr>
        <w:t>olmaya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7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dəyər hətta proqnozlaşdırılan pul axınlarındakı çox kiçik dəyişikliklərə qarşı olduqca həssas ola bilər. Ona görə də, mütəxəssis hər bir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z w:val="24"/>
          <w:szCs w:val="24"/>
          <w:lang w:val="az-Latn-AZ"/>
        </w:rPr>
        <w:t xml:space="preserve">amil üzrə ayrıca həssaslıq təhlilləri </w:t>
      </w:r>
      <w:r w:rsidRPr="009C2EF2">
        <w:rPr>
          <w:rFonts w:ascii="Times New Roman" w:hAnsi="Times New Roman"/>
          <w:i/>
          <w:color w:val="231F20"/>
          <w:spacing w:val="1"/>
          <w:sz w:val="24"/>
          <w:szCs w:val="24"/>
          <w:lang w:val="az-Latn-AZ"/>
        </w:rPr>
        <w:t>aparmalıdır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168"/>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Qiymətləndirmə tarixində əksər məlumatlarda nəticə dəqiqliklə məlum olmayan və proqnozlardan istifadə etməklə hesablanmalı olan dəyişikliklərə qarşı həssas olduğu üçün bu metodu tətbiq edərkən olduqca </w:t>
      </w:r>
      <w:r w:rsidRPr="009C2EF2">
        <w:rPr>
          <w:rFonts w:ascii="Times New Roman" w:hAnsi="Times New Roman"/>
          <w:i/>
          <w:color w:val="231F20"/>
          <w:spacing w:val="-1"/>
          <w:sz w:val="24"/>
          <w:szCs w:val="24"/>
          <w:lang w:val="az-Latn-AZ"/>
        </w:rPr>
        <w:t>diqqətli olmaq lazımdır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170"/>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metodunu tətbiq etmək üçün istifadə olunan modellər mürəkkəblik dərəcəsinə görə olduqca fərqli ola bilər. Buraya məlumatların daha böyük müfəssəlliyinə, çoxsaylı inkişaf mərhələləri və mürəkkəb təhlil alətlərindən istifadəyə imkan yaradan daha mürəkkəb modellər daxildir. Ən səmərəli model nəzərdə tutulan tikinti işlərinin həcmi, müddəti və mürəkkəblik dərəcəsindən asılı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32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Qalıq metodunu tətbiq edərkən qiymətləndirici aşağıdakıların uyğunluğunu və etibarlılığını </w:t>
      </w:r>
      <w:r w:rsidRPr="009C2EF2">
        <w:rPr>
          <w:rFonts w:ascii="Times New Roman" w:hAnsi="Times New Roman"/>
          <w:i/>
          <w:color w:val="231F20"/>
          <w:sz w:val="24"/>
          <w:szCs w:val="24"/>
          <w:lang w:val="az-Latn-AZ"/>
        </w:rPr>
        <w:t>nəzərə almalı və qiymətləndirməlidir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spacing w:line="250" w:lineRule="auto"/>
        <w:ind w:left="1814"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təklif olunan hər hansı tikili və ya struktur üzrə məlumatın mənbəyini, məsələn, qiymətləndirmə zamanı istifadə olunan planlar və spesifikasiyanı və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tikinti xərcləri və layihənin icrası zamanı yarana biləcək və qiymətləndirmə zamanı istifadə olunacaq digər xərclər üzrə məlumatın mənbəyi.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92</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9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0912" behindDoc="1" locked="0" layoutInCell="0" allowOverlap="1">
                <wp:simplePos x="0" y="0"/>
                <wp:positionH relativeFrom="page">
                  <wp:posOffset>5183505</wp:posOffset>
                </wp:positionH>
                <wp:positionV relativeFrom="page">
                  <wp:posOffset>0</wp:posOffset>
                </wp:positionV>
                <wp:extent cx="431800" cy="8423910"/>
                <wp:effectExtent l="0" t="0" r="0" b="0"/>
                <wp:wrapNone/>
                <wp:docPr id="6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8CD6DA" id="Freeform 203" o:spid="_x0000_s1026" style="position:absolute;margin-left:408.15pt;margin-top:0;width:34pt;height:663.3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HB9kQX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EC4F78">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17"/>
        </w:numPr>
        <w:tabs>
          <w:tab w:val="left" w:pos="681"/>
        </w:tabs>
        <w:kinsoku w:val="0"/>
        <w:overflowPunct w:val="0"/>
        <w:spacing w:before="77"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obyektinin bazar dəyərini müəyyən etmək üçün metodun tətbiq edilməsi zamanı aşağıdakı əsas elementlər nəzərə alınmalıdır. Digər bir baza tələb olunduqda isə alternativ məlumatların əldə olunmasına </w:t>
      </w:r>
      <w:r w:rsidRPr="009C2EF2">
        <w:rPr>
          <w:rFonts w:ascii="Times New Roman" w:hAnsi="Times New Roman"/>
          <w:i/>
          <w:color w:val="231F20"/>
          <w:spacing w:val="-1"/>
          <w:sz w:val="24"/>
          <w:szCs w:val="24"/>
          <w:lang w:val="az-Latn-AZ"/>
        </w:rPr>
        <w:t>ehtiyac yarana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Hazır əmlakın dəyəri,</w:t>
      </w:r>
    </w:p>
    <w:p w:rsidR="00D02DD9" w:rsidRPr="009C2EF2" w:rsidRDefault="00EC4F78">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Tikinti</w:t>
      </w:r>
      <w:r w:rsidR="003C64E0" w:rsidRPr="009C2EF2">
        <w:rPr>
          <w:rFonts w:ascii="Times New Roman" w:hAnsi="Times New Roman"/>
          <w:color w:val="231F20"/>
          <w:spacing w:val="1"/>
          <w:sz w:val="24"/>
          <w:szCs w:val="24"/>
          <w:lang w:val="az-Latn-AZ"/>
        </w:rPr>
        <w:t xml:space="preserve"> xərcləri,</w:t>
      </w: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Məsləhətçilərin əməkhaqları,</w:t>
      </w: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Marketinq xərcləri,</w:t>
      </w: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Vaxt cədvəli</w:t>
      </w: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xərcləri,</w:t>
      </w:r>
    </w:p>
    <w:p w:rsidR="00D02DD9" w:rsidRPr="009C2EF2" w:rsidRDefault="0075026C">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2128" behindDoc="0" locked="0" layoutInCell="0" allowOverlap="1">
                <wp:simplePos x="0" y="0"/>
                <wp:positionH relativeFrom="page">
                  <wp:posOffset>5276215</wp:posOffset>
                </wp:positionH>
                <wp:positionV relativeFrom="paragraph">
                  <wp:posOffset>181610</wp:posOffset>
                </wp:positionV>
                <wp:extent cx="152400" cy="3048635"/>
                <wp:effectExtent l="0" t="0" r="0" b="0"/>
                <wp:wrapNone/>
                <wp:docPr id="6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31" type="#_x0000_t202" style="position:absolute;left:0;text-align:left;margin-left:415.45pt;margin-top:14.3pt;width:12pt;height:240.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Tikinti üzrə mənfəət,</w:t>
      </w: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Diskont faiz dərəcəsi.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z w:val="24"/>
          <w:szCs w:val="24"/>
          <w:lang w:val="az-Latn-AZ"/>
        </w:rPr>
        <w:t>Başa çatdırılmış əmlakın dəyəri</w:t>
      </w:r>
    </w:p>
    <w:p w:rsidR="00D02DD9" w:rsidRPr="009C2EF2" w:rsidRDefault="003C64E0">
      <w:pPr>
        <w:pStyle w:val="a3"/>
        <w:numPr>
          <w:ilvl w:val="1"/>
          <w:numId w:val="17"/>
        </w:numPr>
        <w:tabs>
          <w:tab w:val="left" w:pos="681"/>
        </w:tabs>
        <w:kinsoku w:val="0"/>
        <w:overflowPunct w:val="0"/>
        <w:spacing w:before="122" w:line="250" w:lineRule="auto"/>
        <w:ind w:left="680" w:right="115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Birinci mərhələdə  tikinti layihəsi nəzəri cəhətdən başa çatdırıldıqdan sonra BQS </w:t>
      </w:r>
      <w:r w:rsidRPr="009C2EF2">
        <w:rPr>
          <w:rFonts w:ascii="Times New Roman" w:hAnsi="Times New Roman"/>
          <w:i/>
          <w:color w:val="231F20"/>
          <w:spacing w:val="1"/>
          <w:sz w:val="24"/>
          <w:szCs w:val="24"/>
          <w:lang w:val="az-Latn-AZ"/>
        </w:rPr>
        <w:t>105 Qiymətləndirmə Metodları və Yanaşmaları</w:t>
      </w:r>
      <w:r w:rsidRPr="009C2EF2">
        <w:rPr>
          <w:rFonts w:ascii="Times New Roman" w:hAnsi="Times New Roman"/>
          <w:color w:val="231F20"/>
          <w:sz w:val="24"/>
          <w:szCs w:val="24"/>
          <w:lang w:val="az-Latn-AZ"/>
        </w:rPr>
        <w:t xml:space="preserve"> bölməsinə müvafiq olaraq daşınmaz əmlak üzrə müvafiq iştirak payının dəyərinin hesablanması tələb olunur.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486"/>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və ya gəlir yanaşması üzrə qəbul edilən üsullardan asılı olmayaraq qiymətləndirici aşağıda qeyd olunan iki əsas ehtimaldan birini</w:t>
      </w:r>
      <w:r w:rsidRPr="009C2EF2">
        <w:rPr>
          <w:rFonts w:ascii="Times New Roman" w:hAnsi="Times New Roman"/>
          <w:i/>
          <w:color w:val="231F20"/>
          <w:sz w:val="24"/>
          <w:szCs w:val="24"/>
          <w:lang w:val="az-Latn-AZ"/>
        </w:rPr>
        <w:t xml:space="preserve"> istifadə etməlidir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işin başa çatdırılması üzrə hesablanmış bazar dəyəri layihənin</w:t>
      </w:r>
    </w:p>
    <w:p w:rsidR="00D02DD9" w:rsidRPr="009C2EF2" w:rsidRDefault="003C64E0">
      <w:pPr>
        <w:pStyle w:val="a3"/>
        <w:kinsoku w:val="0"/>
        <w:overflowPunct w:val="0"/>
        <w:spacing w:before="9" w:line="250" w:lineRule="auto"/>
        <w:ind w:left="964" w:right="118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müəyyənləşdirilmiş planlara və spesifikasiyaya uyğun olaraq artıq yekunlaşmasını göstərən xüsusi ehtimal üzrə qiymətləndirmə tarixində qüvvədə olan dəyərlərə əsaslanır və ya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965"/>
        </w:tabs>
        <w:kinsoku w:val="0"/>
        <w:overflowPunct w:val="0"/>
        <w:spacing w:line="250" w:lineRule="auto"/>
        <w:ind w:left="964" w:right="1213"/>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işin başa çatdırılması üzrə hesablanmış dəyər layihənin proqnozlaşdırılan yekunlaşma tarixi üzrə müəyyənləşdirilmiş planlara və spesifikasiyaya uyğun olaraq başa çatdırılmasını əks etdirən xüsusi ehtimala əsaslanır.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 ehtimallardan hansının daha əlverişli olması bazar təcrübəsi və mövcud olan müvafiq məlumatlara uyğun olaraq </w:t>
      </w:r>
      <w:r w:rsidRPr="009C2EF2">
        <w:rPr>
          <w:rFonts w:ascii="Times New Roman" w:hAnsi="Times New Roman"/>
          <w:i/>
          <w:color w:val="231F20"/>
          <w:spacing w:val="1"/>
          <w:sz w:val="24"/>
          <w:szCs w:val="24"/>
          <w:lang w:val="az-Latn-AZ"/>
        </w:rPr>
        <w:t>təyin edilməlidir</w:t>
      </w:r>
      <w:r w:rsidRPr="009C2EF2">
        <w:rPr>
          <w:rFonts w:ascii="Times New Roman" w:hAnsi="Times New Roman"/>
          <w:color w:val="231F20"/>
          <w:sz w:val="24"/>
          <w:szCs w:val="24"/>
          <w:lang w:val="az-Latn-AZ"/>
        </w:rPr>
        <w:t xml:space="preserve">.  Lakin hal-hazırda cari yoxsa proqnozlaşdırılan </w:t>
      </w:r>
      <w:r w:rsidRPr="009C2EF2">
        <w:rPr>
          <w:rFonts w:ascii="Times New Roman" w:hAnsi="Times New Roman"/>
          <w:color w:val="231F20"/>
          <w:sz w:val="24"/>
          <w:szCs w:val="24"/>
          <w:lang w:val="az-Latn-AZ"/>
        </w:rPr>
        <w:lastRenderedPageBreak/>
        <w:t>dəyərlərin istifadəsi edilməsinin dəqiqləşdirilməsi mühüm əhəmiyyət kəsb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işlərinin hesablanmış ümumi dəyərini tətbiq etdikdə bu zaman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z w:val="24"/>
          <w:szCs w:val="24"/>
          <w:lang w:val="az-Latn-AZ"/>
        </w:rPr>
        <w:t xml:space="preserve">qiymətləndirmə tarixində mövcud olan məlumata əsaslanmaqla verdiyi xüsusi proqnozlara istinad etməsi </w:t>
      </w:r>
      <w:r w:rsidRPr="009C2EF2">
        <w:rPr>
          <w:rFonts w:ascii="Times New Roman" w:hAnsi="Times New Roman"/>
          <w:i/>
          <w:color w:val="231F20"/>
          <w:spacing w:val="1"/>
          <w:sz w:val="24"/>
          <w:szCs w:val="24"/>
          <w:lang w:val="az-Latn-AZ"/>
        </w:rPr>
        <w:t>təmin olunmalıdır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Eyni zamanda, qalıq dəyəri hesablayarkən müvafiq ehtimalların tətbiqindən əmin olmaq üçün xüsusilə diqqətli olmaq lazımdır, yəni, cari dəyərlərə istinad etdikdə xərclər də həmçinin cari olmalı və cari qiymətlərin təhlili nəticəsində əldə olunan diskont faiz dərəcələrini </w:t>
      </w:r>
      <w:r w:rsidRPr="009C2EF2">
        <w:rPr>
          <w:rFonts w:ascii="Times New Roman" w:hAnsi="Times New Roman"/>
          <w:i/>
          <w:color w:val="231F20"/>
          <w:spacing w:val="1"/>
          <w:sz w:val="24"/>
          <w:szCs w:val="24"/>
          <w:lang w:val="az-Latn-AZ"/>
        </w:rPr>
        <w:t>əks etdirməlidir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27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Layihə və ya onun başa çatdırılmış müvafiq hissəsi üzrə şərti xarakter daşıyan ilkin satış və ya ilkin icarə müqaviləsi imzalandıqda tikintisi </w:t>
      </w:r>
    </w:p>
    <w:p w:rsidR="00D02DD9" w:rsidRPr="009C2EF2" w:rsidRDefault="003C64E0" w:rsidP="00C11094">
      <w:pPr>
        <w:pStyle w:val="a3"/>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yekunlaşdırılmış əmlakın qiymətləndirilməsi zamanı bu mütləq şəkildə nəzərə alınmalıdır. İlkin satış müqaviləsində göstərilən qiymətin və ya ilkin icarə müqaviləsində nəzərdə tutulan icarə haqqının və ya digər şərtlərin qiymətləndirmə tarixində  </w:t>
      </w:r>
      <w:r w:rsidRPr="009C2EF2">
        <w:rPr>
          <w:rFonts w:ascii="Times New Roman" w:hAnsi="Times New Roman"/>
          <w:i/>
          <w:color w:val="231F20"/>
          <w:spacing w:val="1"/>
          <w:sz w:val="24"/>
          <w:szCs w:val="24"/>
          <w:lang w:val="az-Latn-AZ"/>
        </w:rPr>
        <w:t>iştirakçılar</w:t>
      </w:r>
      <w:r w:rsidR="00C11094" w:rsidRPr="009C2EF2">
        <w:rPr>
          <w:rFonts w:ascii="Times New Roman" w:hAnsi="Times New Roman"/>
          <w:i/>
          <w:color w:val="231F20"/>
          <w:spacing w:val="1"/>
          <w:sz w:val="24"/>
          <w:szCs w:val="24"/>
          <w:lang w:val="az-Latn-AZ"/>
        </w:rPr>
        <w:t xml:space="preserve"> </w:t>
      </w:r>
      <w:r w:rsidRPr="009C2EF2">
        <w:rPr>
          <w:rFonts w:ascii="Times New Roman" w:hAnsi="Times New Roman"/>
          <w:color w:val="231F20"/>
          <w:sz w:val="24"/>
          <w:szCs w:val="24"/>
          <w:lang w:val="az-Latn-AZ"/>
        </w:rPr>
        <w:t xml:space="preserve"> arasında razılaşdırılmış şərtləri əks etdirməsi </w:t>
      </w:r>
      <w:r w:rsidRPr="009C2EF2">
        <w:rPr>
          <w:rFonts w:ascii="Times New Roman" w:hAnsi="Times New Roman"/>
          <w:i/>
          <w:color w:val="231F20"/>
          <w:sz w:val="24"/>
          <w:szCs w:val="24"/>
          <w:lang w:val="az-Latn-AZ"/>
        </w:rPr>
        <w:t>təmin olunmalıdır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93</w:t>
      </w:r>
    </w:p>
    <w:p w:rsidR="00D02DD9" w:rsidRPr="009C2EF2" w:rsidRDefault="00D02DD9">
      <w:pPr>
        <w:pStyle w:val="a3"/>
        <w:kinsoku w:val="0"/>
        <w:overflowPunct w:val="0"/>
        <w:ind w:left="2878" w:right="3723"/>
        <w:jc w:val="center"/>
        <w:rPr>
          <w:rFonts w:ascii="Times New Roman" w:hAnsi="Times New Roman"/>
          <w:color w:val="000000"/>
          <w:sz w:val="24"/>
          <w:szCs w:val="24"/>
          <w:lang w:val="az-Latn-AZ"/>
        </w:rPr>
        <w:sectPr w:rsidR="00D02DD9" w:rsidRPr="009C2EF2">
          <w:footerReference w:type="default" r:id="rId9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1936" behindDoc="1" locked="0" layoutInCell="0" allowOverlap="1">
                <wp:simplePos x="0" y="0"/>
                <wp:positionH relativeFrom="page">
                  <wp:posOffset>0</wp:posOffset>
                </wp:positionH>
                <wp:positionV relativeFrom="page">
                  <wp:posOffset>0</wp:posOffset>
                </wp:positionV>
                <wp:extent cx="432435" cy="8424545"/>
                <wp:effectExtent l="0" t="0" r="0" b="0"/>
                <wp:wrapNone/>
                <wp:docPr id="6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52C065" id="Freeform 205" o:spid="_x0000_s1026" style="position:absolute;margin-left:0;margin-top:0;width:34.05pt;height:663.3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nNRFDGQDAACF&#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17"/>
        </w:numPr>
        <w:tabs>
          <w:tab w:val="left" w:pos="1531"/>
        </w:tabs>
        <w:kinsoku w:val="0"/>
        <w:overflowPunct w:val="0"/>
        <w:spacing w:before="77" w:line="250" w:lineRule="auto"/>
        <w:ind w:right="152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Şərtlər bazardakı vəziyyəti əks etdirmədikdə qiymətləndirmə ilə bağlı tənzimlənmənin aparılmasına </w:t>
      </w:r>
      <w:r w:rsidRPr="009C2EF2">
        <w:rPr>
          <w:rFonts w:ascii="Times New Roman" w:hAnsi="Times New Roman"/>
          <w:i/>
          <w:color w:val="231F20"/>
          <w:spacing w:val="-1"/>
          <w:sz w:val="24"/>
          <w:szCs w:val="24"/>
          <w:lang w:val="az-Latn-AZ"/>
        </w:rPr>
        <w:t>ehtiyac yarana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700"/>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Həmçinin, bu müqavilələrin layihə başa çatdırılmazdan öncə tikinti obyekti üzrə müvafiq iştirak payına malik alıcıya ötürülmə xüsusiyyətinin olub olmaması göstərilməlidir.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Tikinti xərcləri</w:t>
      </w:r>
    </w:p>
    <w:p w:rsidR="00D02DD9" w:rsidRPr="009C2EF2" w:rsidRDefault="003C64E0">
      <w:pPr>
        <w:pStyle w:val="a3"/>
        <w:numPr>
          <w:ilvl w:val="1"/>
          <w:numId w:val="17"/>
        </w:numPr>
        <w:tabs>
          <w:tab w:val="left" w:pos="1531"/>
        </w:tabs>
        <w:kinsoku w:val="0"/>
        <w:overflowPunct w:val="0"/>
        <w:spacing w:before="122" w:line="250" w:lineRule="auto"/>
        <w:ind w:right="1157"/>
        <w:rPr>
          <w:rFonts w:ascii="Times New Roman" w:hAnsi="Times New Roman"/>
          <w:color w:val="000000"/>
          <w:sz w:val="24"/>
          <w:szCs w:val="24"/>
          <w:lang w:val="az-Latn-AZ"/>
        </w:rPr>
      </w:pPr>
      <w:r w:rsidRPr="009C2EF2">
        <w:rPr>
          <w:rFonts w:ascii="Times New Roman" w:hAnsi="Times New Roman"/>
          <w:color w:val="231F20"/>
          <w:sz w:val="24"/>
          <w:szCs w:val="24"/>
          <w:lang w:val="az-Latn-AZ"/>
        </w:rPr>
        <w:t>Layihəni mövcud spesifikasiyaya uyğun şəkildə başa çatdırmaq üçün qiymətləndirmə tarixində tələb olunan bütün iş üzrə xərclərin müəyyənləşdirilməsi zəruridir. İşin icrasına başlanılmadığı təqdirdə buraya əsas tikinti müqaviləsinin imzalanmasından öncə tələb olunan hazırlıq işləri, o cümlədən rəsmi icazələrin əldə olunması, strukturun sökülməsi və ya tikinti ərazisinin təmizlənməsi işləri ilə bağlı xərclər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7"/>
        </w:numPr>
        <w:tabs>
          <w:tab w:val="left" w:pos="1531"/>
        </w:tabs>
        <w:kinsoku w:val="0"/>
        <w:overflowPunct w:val="0"/>
        <w:spacing w:line="250" w:lineRule="auto"/>
        <w:ind w:right="1326"/>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3152" behindDoc="0" locked="0" layoutInCell="0" allowOverlap="1">
                <wp:simplePos x="0" y="0"/>
                <wp:positionH relativeFrom="page">
                  <wp:posOffset>151130</wp:posOffset>
                </wp:positionH>
                <wp:positionV relativeFrom="paragraph">
                  <wp:posOffset>267335</wp:posOffset>
                </wp:positionV>
                <wp:extent cx="152400" cy="3048635"/>
                <wp:effectExtent l="0" t="0" r="0" b="0"/>
                <wp:wrapNone/>
                <wp:docPr id="6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32" type="#_x0000_t202" style="position:absolute;left:0;text-align:left;margin-left:11.9pt;margin-top:21.05pt;width:12pt;height:240.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pacing w:val="1"/>
          <w:sz w:val="24"/>
          <w:szCs w:val="24"/>
          <w:lang w:val="az-Latn-AZ"/>
        </w:rPr>
        <w:t>İşin ic</w:t>
      </w:r>
      <w:r w:rsidR="00C11094" w:rsidRPr="009C2EF2">
        <w:rPr>
          <w:rFonts w:ascii="Times New Roman" w:hAnsi="Times New Roman"/>
          <w:color w:val="231F20"/>
          <w:spacing w:val="1"/>
          <w:sz w:val="24"/>
          <w:szCs w:val="24"/>
          <w:lang w:val="az-Latn-AZ"/>
        </w:rPr>
        <w:t>r</w:t>
      </w:r>
      <w:r w:rsidR="003C64E0" w:rsidRPr="009C2EF2">
        <w:rPr>
          <w:rFonts w:ascii="Times New Roman" w:hAnsi="Times New Roman"/>
          <w:color w:val="231F20"/>
          <w:spacing w:val="1"/>
          <w:sz w:val="24"/>
          <w:szCs w:val="24"/>
          <w:lang w:val="az-Latn-AZ"/>
        </w:rPr>
        <w:t xml:space="preserve">asına başlanıldıqda və ya işin icrası başlamaq üzrə olduqda xərcin müstəqil şəkildə təsdiqini təmin etmək üçün müqavilə və ya müqavilələr imzalanmalıdır. Lakin heç bir müqavilə imzalanmadıqda və ya faktiki müqavilə xərcləri qiymətləndirmə tarixində bazarda razılaşdırılmış xərclər ilə uyğunlaşmadıqda xərclərin proqnozlaşdırıldığı tarixdə </w:t>
      </w:r>
      <w:r w:rsidR="003C64E0" w:rsidRPr="009C2EF2">
        <w:rPr>
          <w:rFonts w:ascii="Times New Roman" w:hAnsi="Times New Roman"/>
          <w:i/>
          <w:color w:val="231F20"/>
          <w:sz w:val="24"/>
          <w:szCs w:val="24"/>
          <w:lang w:val="az-Latn-AZ"/>
        </w:rPr>
        <w:t xml:space="preserve">iştirakçıların </w:t>
      </w:r>
      <w:r w:rsidR="003C64E0" w:rsidRPr="009C2EF2">
        <w:rPr>
          <w:rFonts w:ascii="Times New Roman" w:hAnsi="Times New Roman"/>
          <w:color w:val="231F20"/>
          <w:spacing w:val="1"/>
          <w:sz w:val="24"/>
          <w:szCs w:val="24"/>
          <w:lang w:val="az-Latn-AZ"/>
        </w:rPr>
        <w:t xml:space="preserve">əsaslı gözləntisini əks etdirən bu xərcləri hesablamaq mühüm əhəmiyyət </w:t>
      </w:r>
      <w:r w:rsidR="003C64E0" w:rsidRPr="009C2EF2">
        <w:rPr>
          <w:rFonts w:ascii="Times New Roman" w:hAnsi="Times New Roman"/>
          <w:i/>
          <w:color w:val="231F20"/>
          <w:spacing w:val="-1"/>
          <w:sz w:val="24"/>
          <w:szCs w:val="24"/>
          <w:lang w:val="az-Latn-AZ"/>
        </w:rPr>
        <w:t>kəsb edə bilər</w:t>
      </w:r>
      <w:r w:rsidR="003C64E0"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tarixindən öncə aparılmış işlərdən əldə olunan gəlir dəyərdə əks olunacaq, lakin onun dəyərini müəyyən etməyəcək. Eyni zamanda, qiymətləndirmə tarixindən öncə başa çatmış iş ilə bağlı tikinti müqaviləsi üzrə ödənişlər cari dəyərə uyğun deyil.</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18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Bunun əksinə olaraq, tikinti müqaviləsi üzrə ödənişlər başa çatdırılmış işə aid edildikdə qiymətləndirilmə tarixində icrası başlanılmamış iş üzrə ödənilməli olan məbləğlər işi başa </w:t>
      </w:r>
      <w:r w:rsidRPr="009C2EF2">
        <w:rPr>
          <w:rFonts w:ascii="Times New Roman" w:hAnsi="Times New Roman"/>
          <w:color w:val="231F20"/>
          <w:sz w:val="24"/>
          <w:szCs w:val="24"/>
          <w:lang w:val="az-Latn-AZ"/>
        </w:rPr>
        <w:lastRenderedPageBreak/>
        <w:t>çatdırmaq üçün tələb olunan tikinti xərclərinin</w:t>
      </w:r>
      <w:r w:rsidRPr="009C2EF2">
        <w:rPr>
          <w:rFonts w:ascii="Times New Roman" w:hAnsi="Times New Roman"/>
          <w:i/>
          <w:color w:val="231F20"/>
          <w:spacing w:val="-1"/>
          <w:sz w:val="24"/>
          <w:szCs w:val="24"/>
          <w:lang w:val="az-Latn-AZ"/>
        </w:rPr>
        <w:t xml:space="preserve"> ən yaxşı sübutu ola bilər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52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Lakin müqavilə xərclərinə xüsusi son istifadəçinin tələbləri də </w:t>
      </w:r>
      <w:r w:rsidRPr="009C2EF2">
        <w:rPr>
          <w:rFonts w:ascii="Times New Roman" w:hAnsi="Times New Roman"/>
          <w:i/>
          <w:color w:val="231F20"/>
          <w:spacing w:val="-1"/>
          <w:sz w:val="24"/>
          <w:szCs w:val="24"/>
          <w:lang w:val="az-Latn-AZ"/>
        </w:rPr>
        <w:t>daxil olduğu</w:t>
      </w:r>
      <w:r w:rsidRPr="009C2EF2">
        <w:rPr>
          <w:rFonts w:ascii="Times New Roman" w:hAnsi="Times New Roman"/>
          <w:color w:val="231F20"/>
          <w:spacing w:val="-2"/>
          <w:sz w:val="24"/>
          <w:szCs w:val="24"/>
          <w:lang w:val="az-Latn-AZ"/>
        </w:rPr>
        <w:t xml:space="preserve"> üçün bu xərclər </w:t>
      </w:r>
      <w:r w:rsidRPr="009C2EF2">
        <w:rPr>
          <w:rFonts w:ascii="Times New Roman" w:hAnsi="Times New Roman"/>
          <w:i/>
          <w:color w:val="231F20"/>
          <w:sz w:val="24"/>
          <w:szCs w:val="24"/>
          <w:lang w:val="az-Latn-AZ"/>
        </w:rPr>
        <w:t xml:space="preserve">iştirakçıların </w:t>
      </w:r>
      <w:r w:rsidRPr="009C2EF2">
        <w:rPr>
          <w:rFonts w:ascii="Times New Roman" w:hAnsi="Times New Roman"/>
          <w:color w:val="231F20"/>
          <w:spacing w:val="-2"/>
          <w:sz w:val="24"/>
          <w:szCs w:val="24"/>
          <w:lang w:val="az-Latn-AZ"/>
        </w:rPr>
        <w:t xml:space="preserve">ümumi tələblərini </w:t>
      </w:r>
      <w:r w:rsidRPr="009C2EF2">
        <w:rPr>
          <w:rFonts w:ascii="Times New Roman" w:hAnsi="Times New Roman"/>
          <w:i/>
          <w:color w:val="231F20"/>
          <w:spacing w:val="-1"/>
          <w:sz w:val="24"/>
          <w:szCs w:val="24"/>
          <w:lang w:val="az-Latn-AZ"/>
        </w:rPr>
        <w:t>əks etdirə bilməz</w:t>
      </w:r>
      <w:r w:rsidRPr="009C2EF2">
        <w:rPr>
          <w:rFonts w:ascii="Times New Roman" w:hAnsi="Times New Roman"/>
          <w:color w:val="231F20"/>
          <w:spacing w:val="-2"/>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Bundan əlavə, müqavilənin şərtlərinin yerinə yetirilməməsi </w:t>
      </w:r>
      <w:r w:rsidRPr="009C2EF2">
        <w:rPr>
          <w:rFonts w:ascii="Times New Roman" w:hAnsi="Times New Roman"/>
          <w:i/>
          <w:color w:val="231F20"/>
          <w:spacing w:val="-1"/>
          <w:sz w:val="24"/>
          <w:szCs w:val="24"/>
          <w:lang w:val="az-Latn-AZ"/>
        </w:rPr>
        <w:t>ehtimalı olduqda</w:t>
      </w:r>
      <w:r w:rsidRPr="009C2EF2">
        <w:rPr>
          <w:rFonts w:ascii="Times New Roman" w:hAnsi="Times New Roman"/>
          <w:color w:val="231F20"/>
          <w:spacing w:val="-1"/>
          <w:sz w:val="24"/>
          <w:szCs w:val="24"/>
          <w:lang w:val="az-Latn-AZ"/>
        </w:rPr>
        <w:t xml:space="preserve"> (məsələn: mübahisəli məsələ və ya tərəflərdən birinin müflisləşməsi səbəbilə) natamam işləri başa çatdırmaq üçün yeni podratçının cəlb olunması ilə bağlı xərcləri əks etdirmək daha </w:t>
      </w:r>
      <w:r w:rsidRPr="009C2EF2">
        <w:rPr>
          <w:rFonts w:ascii="Times New Roman" w:hAnsi="Times New Roman"/>
          <w:i/>
          <w:color w:val="231F20"/>
          <w:spacing w:val="-1"/>
          <w:sz w:val="24"/>
          <w:szCs w:val="24"/>
          <w:lang w:val="az-Latn-AZ"/>
        </w:rPr>
        <w:t>əlverişli ola bilər.</w:t>
      </w:r>
      <w:r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19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Qismən başa çatdırılmış tikinti obyektini qiymətləndirərkən yalnız hər hansı layihə planında nəzərdə tutulan proqnozlaşdırılan xərclərə və gəlirə və ya layihənin icrasına başlayarkən aparılmış uyğunluq üzrə araşdırmaya etibar etmək olmaz.</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Layihənin icrasına başlanıldıqda daxil edilmiş məlumatlar əvvəlki dövrlərə aid olduğuna görə dəyəri müəyyən etmək üçün etibarlı vasitə deyil.  Eyni zamanda, qiymətləndirmə tarixindən öncə başa çatdırılmış layihə üzrə faiz məbləğinin hesablanmasına əsaslanan yanaşma cari bazar dəyərinin müəyyələnləşidirilməsi üçün əsas hesab oluna bilməz.</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EC4F78">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M</w:t>
      </w:r>
      <w:r w:rsidR="003C64E0" w:rsidRPr="009C2EF2">
        <w:rPr>
          <w:rFonts w:ascii="Times New Roman" w:hAnsi="Times New Roman"/>
          <w:color w:val="231F20"/>
          <w:spacing w:val="1"/>
          <w:sz w:val="24"/>
          <w:szCs w:val="24"/>
          <w:lang w:val="az-Latn-AZ"/>
        </w:rPr>
        <w:t>əsləhətçilərin əməkhaqları</w:t>
      </w:r>
    </w:p>
    <w:p w:rsidR="00D02DD9" w:rsidRPr="009C2EF2" w:rsidRDefault="003C64E0">
      <w:pPr>
        <w:pStyle w:val="a3"/>
        <w:numPr>
          <w:ilvl w:val="1"/>
          <w:numId w:val="17"/>
        </w:numPr>
        <w:tabs>
          <w:tab w:val="left" w:pos="1531"/>
        </w:tabs>
        <w:kinsoku w:val="0"/>
        <w:overflowPunct w:val="0"/>
        <w:spacing w:before="122" w:line="250" w:lineRule="auto"/>
        <w:ind w:right="180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Buraya layihənin başa çatdırılması üzrə müxtəlif mərhələlərdə </w:t>
      </w:r>
      <w:r w:rsidRPr="009C2EF2">
        <w:rPr>
          <w:rFonts w:ascii="Times New Roman" w:hAnsi="Times New Roman"/>
          <w:i/>
          <w:color w:val="231F20"/>
          <w:spacing w:val="1"/>
          <w:sz w:val="24"/>
          <w:szCs w:val="24"/>
          <w:lang w:val="az-Latn-AZ"/>
        </w:rPr>
        <w:t xml:space="preserve">iştirakçı </w:t>
      </w:r>
      <w:r w:rsidRPr="009C2EF2">
        <w:rPr>
          <w:rFonts w:ascii="Times New Roman" w:hAnsi="Times New Roman"/>
          <w:color w:val="231F20"/>
          <w:sz w:val="24"/>
          <w:szCs w:val="24"/>
          <w:lang w:val="az-Latn-AZ"/>
        </w:rPr>
        <w:t>tərəfindən əsaslı şəkildə yaranan hüquqi və peşəkar xərclər daxildir.</w:t>
      </w: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94</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10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2960" behindDoc="1" locked="0" layoutInCell="0" allowOverlap="1">
                <wp:simplePos x="0" y="0"/>
                <wp:positionH relativeFrom="page">
                  <wp:posOffset>5183505</wp:posOffset>
                </wp:positionH>
                <wp:positionV relativeFrom="page">
                  <wp:posOffset>0</wp:posOffset>
                </wp:positionV>
                <wp:extent cx="431800" cy="8423910"/>
                <wp:effectExtent l="0" t="0" r="0" b="0"/>
                <wp:wrapNone/>
                <wp:docPr id="62"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10A27C" id="Freeform 207" o:spid="_x0000_s1026" style="position:absolute;margin-left:408.15pt;margin-top:0;width:34pt;height:663.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EC4F78">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EC4F78">
      <w:pPr>
        <w:pStyle w:val="Heading51"/>
        <w:kinsoku w:val="0"/>
        <w:overflowPunct w:val="0"/>
        <w:spacing w:before="77"/>
        <w:outlineLvl w:val="9"/>
        <w:rPr>
          <w:rFonts w:ascii="Times New Roman" w:hAnsi="Times New Roman"/>
          <w:b w:val="0"/>
          <w:i w:val="0"/>
          <w:color w:val="000000"/>
          <w:sz w:val="24"/>
          <w:szCs w:val="24"/>
          <w:lang w:val="az-Latn-AZ"/>
        </w:rPr>
      </w:pPr>
      <w:r w:rsidRPr="009C2EF2">
        <w:rPr>
          <w:rFonts w:ascii="Times New Roman" w:hAnsi="Times New Roman"/>
          <w:color w:val="231F20"/>
          <w:spacing w:val="2"/>
          <w:sz w:val="24"/>
          <w:szCs w:val="24"/>
          <w:lang w:val="az-Latn-AZ"/>
        </w:rPr>
        <w:t>M</w:t>
      </w:r>
      <w:r w:rsidR="003C64E0" w:rsidRPr="009C2EF2">
        <w:rPr>
          <w:rFonts w:ascii="Times New Roman" w:hAnsi="Times New Roman"/>
          <w:color w:val="231F20"/>
          <w:spacing w:val="2"/>
          <w:sz w:val="24"/>
          <w:szCs w:val="24"/>
          <w:lang w:val="az-Latn-AZ"/>
        </w:rPr>
        <w:t>arketinq xərcləri</w:t>
      </w:r>
    </w:p>
    <w:p w:rsidR="00D02DD9" w:rsidRPr="009C2EF2" w:rsidRDefault="003C64E0">
      <w:pPr>
        <w:pStyle w:val="a3"/>
        <w:numPr>
          <w:ilvl w:val="1"/>
          <w:numId w:val="17"/>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Başa çatdırılmış layihə üzrə heç bir dəqiq alıcı və ya icarəçi olmadıqda müvafiq marketinq ilə bağlı xərclərin və 90.23-cü bənddə nəzərdə tutulmayan marketinq üzrə məsləhətçilərin əməkhaqları və lizinq komissiya haqlarının tətbiqi uyğun hesab ediləcək.</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Vaxt cədvəli</w:t>
      </w:r>
    </w:p>
    <w:p w:rsidR="00D02DD9" w:rsidRPr="009C2EF2" w:rsidRDefault="003C64E0">
      <w:pPr>
        <w:pStyle w:val="a3"/>
        <w:numPr>
          <w:ilvl w:val="1"/>
          <w:numId w:val="17"/>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Layihənin qiymətləndirmə tarixindən gözlənilən fiziki başaçatma tarixinə qədər olan dövr tikinti xərcləri, məsləhətçilərin əməkhaqları və s. üzrə pul axınlarının mərhələli bölgüsü ilə birlikdə 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7"/>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4176" behindDoc="0" locked="0" layoutInCell="0" allowOverlap="1">
                <wp:simplePos x="0" y="0"/>
                <wp:positionH relativeFrom="page">
                  <wp:posOffset>5276215</wp:posOffset>
                </wp:positionH>
                <wp:positionV relativeFrom="paragraph">
                  <wp:posOffset>577215</wp:posOffset>
                </wp:positionV>
                <wp:extent cx="152400" cy="3048635"/>
                <wp:effectExtent l="0" t="0" r="0" b="0"/>
                <wp:wrapNone/>
                <wp:docPr id="6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33" type="#_x0000_t202" style="position:absolute;left:0;text-align:left;margin-left:415.45pt;margin-top:45.45pt;width:12pt;height:240.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vCsA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 xml:space="preserve">Layihənin icrası praktik şəkildə yekunlaşdıqdan sonra tikinti obyektində müvafiq iştirak payı üzrə heç bir satış müqaviləsi imzalanmayıbsa tikinti başa çatdıqdan sonra tələblərə uyğun olaraq satış həyata keçirilənə qədər müvafiq bazar dövrü üzrə </w:t>
      </w:r>
      <w:r w:rsidR="003C64E0" w:rsidRPr="009C2EF2">
        <w:rPr>
          <w:rFonts w:ascii="Times New Roman" w:hAnsi="Times New Roman"/>
          <w:i/>
          <w:color w:val="231F20"/>
          <w:spacing w:val="1"/>
          <w:sz w:val="24"/>
          <w:szCs w:val="24"/>
          <w:lang w:val="az-Latn-AZ"/>
        </w:rPr>
        <w:t>qiymət müəyyən edilməlidir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17"/>
        </w:numPr>
        <w:tabs>
          <w:tab w:val="left" w:pos="681"/>
        </w:tabs>
        <w:kinsoku w:val="0"/>
        <w:overflowPunct w:val="0"/>
        <w:spacing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başa çatdıqdan sonra əmlak investisiya üçün ayrıldıqda və əmlakla bağlı heç bir ilkin icarə müqaviləsi olmadıqda sabit icarə müddətinin müəyyən edilməsi üçün tələb olunan vaxt (yəni, real uzunmüddətli icarə müqaviləsinin imzalanması üçün tələb olunan müddət) nəzərə alınmalıdır.  Fərdi icarə vahidlərinin mövcud olduğu layihə üzrə  bazar təcrübəsi çoxlu sayda icarə vahidinin hər zaman boş olmasının gözlənildiyini əks etdirdikdə sabit icarə səviyyələri 100 faizdən daha </w:t>
      </w:r>
      <w:r w:rsidRPr="009C2EF2">
        <w:rPr>
          <w:rFonts w:ascii="Times New Roman" w:hAnsi="Times New Roman"/>
          <w:i/>
          <w:color w:val="231F20"/>
          <w:spacing w:val="-1"/>
          <w:sz w:val="24"/>
          <w:szCs w:val="24"/>
          <w:lang w:val="az-Latn-AZ"/>
        </w:rPr>
        <w:t xml:space="preserve">az ola bilər </w:t>
      </w:r>
      <w:r w:rsidRPr="009C2EF2">
        <w:rPr>
          <w:rFonts w:ascii="Times New Roman" w:hAnsi="Times New Roman"/>
          <w:color w:val="231F20"/>
          <w:sz w:val="24"/>
          <w:szCs w:val="24"/>
          <w:lang w:val="az-Latn-AZ"/>
        </w:rPr>
        <w:t xml:space="preserve">və belə olduqda həmin dövr ərzində əmlak sahibinin səbəb olduğu  əlavə marketinq xərcləri, istismar və/ və geri ödənilməyən xidmət xərcləri kimi xərclər üzrə </w:t>
      </w:r>
      <w:r w:rsidRPr="009C2EF2">
        <w:rPr>
          <w:rFonts w:ascii="Times New Roman" w:hAnsi="Times New Roman"/>
          <w:i/>
          <w:color w:val="231F20"/>
          <w:spacing w:val="1"/>
          <w:sz w:val="24"/>
          <w:szCs w:val="24"/>
          <w:lang w:val="az-Latn-AZ"/>
        </w:rPr>
        <w:t>güzəşt tətbiq edilməlidir</w:t>
      </w:r>
      <w:r w:rsidRPr="009C2EF2">
        <w:rPr>
          <w:rFonts w:ascii="Times New Roman" w:hAnsi="Times New Roman"/>
          <w:color w:val="231F20"/>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Maliyyə xərcləri</w:t>
      </w:r>
    </w:p>
    <w:p w:rsidR="00D02DD9" w:rsidRPr="009C2EF2" w:rsidRDefault="003C64E0" w:rsidP="00537609">
      <w:pPr>
        <w:pStyle w:val="a3"/>
        <w:numPr>
          <w:ilvl w:val="1"/>
          <w:numId w:val="17"/>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Bunlar qiymətləndirmə tarixindən başlayaraq iştirak payını satmaq və ya uzunmüddətli icarə müqaviləsi imzalamaq məqsədilə layihənin fiziki cəhətdən başa çatdırılması üçün tələb olunan hər hansı dövr daxil olmaqla layihənin icrasının </w:t>
      </w:r>
      <w:r w:rsidRPr="009C2EF2">
        <w:rPr>
          <w:rFonts w:ascii="Times New Roman" w:hAnsi="Times New Roman"/>
          <w:color w:val="231F20"/>
          <w:sz w:val="24"/>
          <w:szCs w:val="24"/>
          <w:lang w:val="az-Latn-AZ"/>
        </w:rPr>
        <w:lastRenderedPageBreak/>
        <w:t xml:space="preserve">yekunlaşmasına qədər layihə üzrə maliyyə baxımından yaranan xərcləri </w:t>
      </w:r>
      <w:r w:rsidRPr="009C2EF2">
        <w:rPr>
          <w:rFonts w:ascii="Times New Roman" w:hAnsi="Times New Roman"/>
          <w:color w:val="231F20"/>
          <w:spacing w:val="-1"/>
          <w:sz w:val="24"/>
          <w:szCs w:val="24"/>
          <w:lang w:val="az-Latn-AZ"/>
        </w:rPr>
        <w:t xml:space="preserve">əks etdirir.  Borcverən tikintinin aparıldığı dövr ərzindəki riskləri tikinti başa çatdıqdan sonrakı dövrün risklərindən </w:t>
      </w:r>
      <w:r w:rsidRPr="009C2EF2">
        <w:rPr>
          <w:rFonts w:ascii="Times New Roman" w:hAnsi="Times New Roman"/>
          <w:i/>
          <w:color w:val="231F20"/>
          <w:spacing w:val="-1"/>
          <w:sz w:val="24"/>
          <w:szCs w:val="24"/>
          <w:lang w:val="az-Latn-AZ"/>
        </w:rPr>
        <w:t>əhəmiyyətli şəkildə fərqləndirə bildiyinə görə</w:t>
      </w:r>
      <w:r w:rsidRPr="009C2EF2">
        <w:rPr>
          <w:rFonts w:ascii="Times New Roman" w:hAnsi="Times New Roman"/>
          <w:color w:val="231F20"/>
          <w:spacing w:val="-1"/>
          <w:sz w:val="24"/>
          <w:szCs w:val="24"/>
          <w:lang w:val="az-Latn-AZ"/>
        </w:rPr>
        <w:t xml:space="preserve"> hər bir dövr ərzindəki maliyyə xərci də, həmçinin, ayrıca </w:t>
      </w:r>
      <w:r w:rsidRPr="009C2EF2">
        <w:rPr>
          <w:rFonts w:ascii="Times New Roman" w:hAnsi="Times New Roman"/>
          <w:i/>
          <w:color w:val="231F20"/>
          <w:spacing w:val="-1"/>
          <w:sz w:val="24"/>
          <w:szCs w:val="24"/>
          <w:lang w:val="az-Latn-AZ"/>
        </w:rPr>
        <w:t>nəzərə alına bilər.</w:t>
      </w:r>
      <w:r w:rsidRPr="009C2EF2">
        <w:rPr>
          <w:rFonts w:ascii="Times New Roman" w:hAnsi="Times New Roman"/>
          <w:color w:val="231F20"/>
          <w:spacing w:val="-1"/>
          <w:sz w:val="24"/>
          <w:szCs w:val="24"/>
          <w:lang w:val="az-Latn-AZ"/>
        </w:rPr>
        <w:t xml:space="preserve"> Müəssisə layihəni özü maliyyələşdirmək niyyətində olsa belə, qiymətləndirmə tarixində  layihənin başa çatdırılmasını maliyyələşdirmək məqsədilə borc pul vəsaiti götürmək üçün iştirak payı üzrə </w:t>
      </w:r>
      <w:r w:rsidRPr="009C2EF2">
        <w:rPr>
          <w:rFonts w:ascii="Times New Roman" w:hAnsi="Times New Roman"/>
          <w:i/>
          <w:color w:val="231F20"/>
          <w:spacing w:val="1"/>
          <w:sz w:val="24"/>
          <w:szCs w:val="24"/>
          <w:lang w:val="az-Latn-AZ"/>
        </w:rPr>
        <w:t xml:space="preserve">iştirakçı </w:t>
      </w:r>
      <w:r w:rsidRPr="009C2EF2">
        <w:rPr>
          <w:rFonts w:ascii="Times New Roman" w:hAnsi="Times New Roman"/>
          <w:color w:val="231F20"/>
          <w:spacing w:val="-1"/>
          <w:sz w:val="24"/>
          <w:szCs w:val="24"/>
          <w:lang w:val="az-Latn-AZ"/>
        </w:rPr>
        <w:t xml:space="preserve">tərəfindən əldə oluna bilən dərəcədə  </w:t>
      </w:r>
      <w:r w:rsidRPr="009C2EF2">
        <w:rPr>
          <w:rFonts w:ascii="Times New Roman" w:hAnsi="Times New Roman"/>
          <w:i/>
          <w:color w:val="231F20"/>
          <w:spacing w:val="1"/>
          <w:sz w:val="24"/>
          <w:szCs w:val="24"/>
          <w:lang w:val="az-Latn-AZ"/>
        </w:rPr>
        <w:t>güzəşt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outlineLvl w:val="9"/>
        <w:rPr>
          <w:rFonts w:ascii="Times New Roman" w:hAnsi="Times New Roman"/>
          <w:b w:val="0"/>
          <w:i w:val="0"/>
          <w:color w:val="000000"/>
          <w:sz w:val="24"/>
          <w:szCs w:val="24"/>
          <w:lang w:val="az-Latn-AZ"/>
        </w:rPr>
      </w:pPr>
      <w:r w:rsidRPr="009C2EF2">
        <w:rPr>
          <w:rFonts w:ascii="Times New Roman" w:hAnsi="Times New Roman"/>
          <w:color w:val="231F20"/>
          <w:spacing w:val="1"/>
          <w:sz w:val="24"/>
          <w:szCs w:val="24"/>
          <w:lang w:val="az-Latn-AZ"/>
        </w:rPr>
        <w:t>Tikinti üzrə mənfəət</w:t>
      </w:r>
    </w:p>
    <w:p w:rsidR="00D02DD9" w:rsidRPr="009C2EF2" w:rsidRDefault="003C64E0">
      <w:pPr>
        <w:pStyle w:val="a3"/>
        <w:numPr>
          <w:ilvl w:val="1"/>
          <w:numId w:val="17"/>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üzrə mənfəət və ya qiymətləndirmə tarixində layihənin başa çatması ilə bağlı riskləri qəbul etmək üçün satış bazarında tikinti obyektinin alıcısı tərəfindən tələb olunan gəlir ilə bağlı </w:t>
      </w:r>
      <w:r w:rsidRPr="009C2EF2">
        <w:rPr>
          <w:rFonts w:ascii="Times New Roman" w:hAnsi="Times New Roman"/>
          <w:i/>
          <w:color w:val="231F20"/>
          <w:spacing w:val="1"/>
          <w:sz w:val="24"/>
          <w:szCs w:val="24"/>
          <w:lang w:val="az-Latn-AZ"/>
        </w:rPr>
        <w:t>güzəşt tətbiq olunmalıdır.</w:t>
      </w:r>
      <w:r w:rsidRPr="009C2EF2">
        <w:rPr>
          <w:rFonts w:ascii="Times New Roman" w:hAnsi="Times New Roman"/>
          <w:color w:val="231F20"/>
          <w:sz w:val="24"/>
          <w:szCs w:val="24"/>
          <w:lang w:val="az-Latn-AZ"/>
        </w:rPr>
        <w:t xml:space="preserve"> Buraya layihənin fiziki olaraq başa çatdırılmasından sonra proqnozlaşdırılan gəlirin və ya kapital dəyərinin əldə olunması ilə bağlı risklər daxil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681"/>
        </w:tabs>
        <w:kinsoku w:val="0"/>
        <w:overflowPunct w:val="0"/>
        <w:spacing w:line="250" w:lineRule="auto"/>
        <w:ind w:left="680" w:right="1150"/>
        <w:rPr>
          <w:rFonts w:ascii="Times New Roman" w:hAnsi="Times New Roman"/>
          <w:color w:val="000000"/>
          <w:sz w:val="24"/>
          <w:szCs w:val="24"/>
          <w:lang w:val="az-Latn-AZ"/>
        </w:rPr>
      </w:pPr>
      <w:r w:rsidRPr="009C2EF2">
        <w:rPr>
          <w:rFonts w:ascii="Times New Roman" w:hAnsi="Times New Roman"/>
          <w:color w:val="231F20"/>
          <w:sz w:val="24"/>
          <w:szCs w:val="24"/>
          <w:lang w:val="az-Latn-AZ"/>
        </w:rPr>
        <w:t>Bu planlaşdırılan mənfəət birdəfəlik ödəniş, yaranan xərclər üzrə faiz şəklindəki gəlir və ya başaçatma ilə bağlı layihənin proqnozlaşdırılan dəyərinin faizi və ya gəlirlilik dərəcəsi kimi ifadə oluna bilər. Ən uyğun seçim müvafiq əmlak növü üzrə kommersiya təcrübəsi əsasında müəyyən ediləcək. Tələb olunacaq mənfəətin məbləği qiymətləndirmə tarixində perspektivli alıcının müəyyən etdiyi riskin səviyyəsini əks etdirəcək və aşağıdakı amillərdən asılı olaraq fərqlənəcək:</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95</w:t>
      </w:r>
    </w:p>
    <w:p w:rsidR="00D02DD9" w:rsidRPr="009C2EF2" w:rsidRDefault="00D02DD9">
      <w:pPr>
        <w:pStyle w:val="a3"/>
        <w:kinsoku w:val="0"/>
        <w:overflowPunct w:val="0"/>
        <w:spacing w:before="80"/>
        <w:ind w:left="2878" w:right="3723"/>
        <w:jc w:val="center"/>
        <w:rPr>
          <w:rFonts w:ascii="Times New Roman" w:hAnsi="Times New Roman"/>
          <w:color w:val="000000"/>
          <w:sz w:val="24"/>
          <w:szCs w:val="24"/>
          <w:lang w:val="az-Latn-AZ"/>
        </w:rPr>
        <w:sectPr w:rsidR="00D02DD9" w:rsidRPr="009C2EF2">
          <w:footerReference w:type="default" r:id="rId10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3984" behindDoc="1" locked="0" layoutInCell="0" allowOverlap="1">
                <wp:simplePos x="0" y="0"/>
                <wp:positionH relativeFrom="page">
                  <wp:posOffset>0</wp:posOffset>
                </wp:positionH>
                <wp:positionV relativeFrom="page">
                  <wp:posOffset>0</wp:posOffset>
                </wp:positionV>
                <wp:extent cx="432435" cy="8424545"/>
                <wp:effectExtent l="0" t="0" r="0" b="0"/>
                <wp:wrapNone/>
                <wp:docPr id="6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367E78" id="Freeform 209" o:spid="_x0000_s1026" style="position:absolute;margin-left:0;margin-top:0;width:34.05pt;height:663.3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EC4F78">
      <w:pPr>
        <w:pStyle w:val="a3"/>
        <w:kinsoku w:val="0"/>
        <w:overflowPunct w:val="0"/>
        <w:spacing w:before="80"/>
        <w:ind w:left="3125" w:right="264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2"/>
          <w:numId w:val="17"/>
        </w:numPr>
        <w:tabs>
          <w:tab w:val="left" w:pos="1815"/>
        </w:tabs>
        <w:kinsoku w:val="0"/>
        <w:overflowPunct w:val="0"/>
        <w:spacing w:before="77"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tarixində layihənin çatdığı mərhələ. Tikinti obyektində pay sahibi olan tərəfin müflisləşməsi istisna olmaqla yekunlaşmaq üzrə olan layihə ilkin mərhələdə olan layihə ilə müqayisədə daha az risk daşıyır,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spacing w:line="250" w:lineRule="auto"/>
        <w:ind w:left="1814" w:right="2009"/>
        <w:rPr>
          <w:rFonts w:ascii="Times New Roman" w:hAnsi="Times New Roman"/>
          <w:color w:val="000000"/>
          <w:sz w:val="24"/>
          <w:szCs w:val="24"/>
          <w:lang w:val="az-Latn-AZ"/>
        </w:rPr>
      </w:pPr>
      <w:r w:rsidRPr="009C2EF2">
        <w:rPr>
          <w:rFonts w:ascii="Times New Roman" w:hAnsi="Times New Roman"/>
          <w:color w:val="231F20"/>
          <w:sz w:val="24"/>
          <w:szCs w:val="24"/>
          <w:lang w:val="az-Latn-AZ"/>
        </w:rPr>
        <w:t>alıcı və ya icarəçiyə başa çatdırılmış layihə üzrə zəmanətin verilib verilməməsi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17"/>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5200" behindDoc="0" locked="0" layoutInCell="0" allowOverlap="1">
                <wp:simplePos x="0" y="0"/>
                <wp:positionH relativeFrom="page">
                  <wp:posOffset>151130</wp:posOffset>
                </wp:positionH>
                <wp:positionV relativeFrom="paragraph">
                  <wp:posOffset>226060</wp:posOffset>
                </wp:positionV>
                <wp:extent cx="152400" cy="3953510"/>
                <wp:effectExtent l="0" t="0" r="0" b="0"/>
                <wp:wrapNone/>
                <wp:docPr id="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95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4" type="#_x0000_t202" style="position:absolute;left:0;text-align:left;margin-left:11.9pt;margin-top:17.8pt;width:12pt;height:311.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layihənin həcmi və proqnozlaşdırılan qalan müddət. Layihənin icra müddəti nə qədər uzun olarsa, gələcək xərclər və gəlirlərdəki dəyişikliklər və ümumilikdə dəyişən iqtisadi vəziyyət ilə bağlı risklər o qədər böyük olur.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791"/>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obyektinin başa çatdırılması ilə bağlı risklərin qiymətləndirilməsi zamanı aşağıdakı amillər</w:t>
      </w:r>
      <w:r w:rsidRPr="009C2EF2">
        <w:rPr>
          <w:rFonts w:ascii="Times New Roman" w:hAnsi="Times New Roman"/>
          <w:i/>
          <w:color w:val="231F20"/>
          <w:spacing w:val="-1"/>
          <w:sz w:val="24"/>
          <w:szCs w:val="24"/>
          <w:lang w:val="az-Latn-AZ"/>
        </w:rPr>
        <w:t xml:space="preserve"> 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xərclərinin artmasına səbəb olan gözlənilməyən mürəkkəb vəziyyət,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əlverişsiz hava şəraiti və ya tikintini həyata keçirən şirkətin iradəsi xaricində olan digər məsələlərin başvermə ehtimalının olması,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rəsmi icazələrin əldə olunmasında gecikmə,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təchizatçıların öz öhdəliklərini yerinə yetirməməsi,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spacing w:line="250" w:lineRule="auto"/>
        <w:ind w:left="1814" w:right="2780"/>
        <w:rPr>
          <w:rFonts w:ascii="Times New Roman" w:hAnsi="Times New Roman"/>
          <w:color w:val="000000"/>
          <w:sz w:val="24"/>
          <w:szCs w:val="24"/>
          <w:lang w:val="az-Latn-AZ"/>
        </w:rPr>
      </w:pPr>
      <w:r w:rsidRPr="009C2EF2">
        <w:rPr>
          <w:rFonts w:ascii="Times New Roman" w:hAnsi="Times New Roman"/>
          <w:color w:val="231F20"/>
          <w:sz w:val="24"/>
          <w:szCs w:val="24"/>
          <w:lang w:val="az-Latn-AZ"/>
        </w:rPr>
        <w:t>hüququn verilməsi ilə bağlı risk və tikintinin həyata keçirildiyi müddət ərzində hüquqlarla bağlı dəyişikliklər,</w:t>
      </w:r>
    </w:p>
    <w:p w:rsidR="00D02DD9" w:rsidRPr="009C2EF2" w:rsidRDefault="003C64E0">
      <w:pPr>
        <w:pStyle w:val="a3"/>
        <w:numPr>
          <w:ilvl w:val="2"/>
          <w:numId w:val="1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normativ dəyişikliklər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7"/>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icrası başa çatdırılmış layihə üçün alıcı və ya icarəçinin tapılması ilə bağlı gecikmə.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Yuxarıda sadalanan amillər layihə üzrə ehtimal edilən riskə və alıcı və ya tikinti obyektinin tələb edəcəyi mənfəətə təsir </w:t>
      </w:r>
      <w:r w:rsidRPr="009C2EF2">
        <w:rPr>
          <w:rFonts w:ascii="Times New Roman" w:hAnsi="Times New Roman"/>
          <w:color w:val="231F20"/>
          <w:sz w:val="24"/>
          <w:szCs w:val="24"/>
          <w:lang w:val="az-Latn-AZ"/>
        </w:rPr>
        <w:lastRenderedPageBreak/>
        <w:t xml:space="preserve">etdiyinə görə qalıq qiymətləndirmə metodunda əks olunan nəzərə alınmayan xərclərin və ya pul axınlarının cari dəyərə uyğunlaşdırılması üçün istifadə olunan diskont faiz dərəcəsi üzrə risklərin iki dəfə hesablanmaması üçün </w:t>
      </w:r>
      <w:r w:rsidRPr="009C2EF2">
        <w:rPr>
          <w:rFonts w:ascii="Times New Roman" w:hAnsi="Times New Roman"/>
          <w:i/>
          <w:color w:val="231F20"/>
          <w:sz w:val="24"/>
          <w:szCs w:val="24"/>
          <w:lang w:val="az-Latn-AZ"/>
        </w:rPr>
        <w:t>çox diqqətli olmaq lazımdır.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Başa çatdırılmış tikinti layihəsinin dəyişən bazar şəraiti səbəbilə layihənin icra müddəti ərzində hesablanmış dəyərinin dəyişməsi riski yekunlaşdırılmış layihəni qiymətləndirmək üçün istifadə olunan diskont faiz dərəcəsi və ya kapitallaşma dərəcəsində əks olunacaq.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7"/>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layihəsinə başlanılan vaxt tikinti obyektində iştirak payı sahibinin proqnozlaşdırdığı mənfəət tikintiyə başladıqdan sonra layihədə onun faizinə uyğun şəkildə fərqli olacaq. Qiymətləndirmə zamanı qiymətləndirmə tarixində mövcud olan risklər və qismən yekunlaşdırılmış layihənin alıcısının layihənin müvəffıqiyyətlə başa çatması üçün tələb edəcəyi diskont və ya güzəşt </w:t>
      </w:r>
      <w:r w:rsidRPr="009C2EF2">
        <w:rPr>
          <w:rFonts w:ascii="Times New Roman" w:hAnsi="Times New Roman"/>
          <w:i/>
          <w:color w:val="231F20"/>
          <w:spacing w:val="1"/>
          <w:sz w:val="24"/>
          <w:szCs w:val="24"/>
          <w:lang w:val="az-Latn-AZ"/>
        </w:rPr>
        <w:t>göstərilməlidir.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51"/>
        <w:kinsoku w:val="0"/>
        <w:overflowPunct w:val="0"/>
        <w:ind w:left="1530"/>
        <w:outlineLvl w:val="9"/>
        <w:rPr>
          <w:rFonts w:ascii="Times New Roman" w:hAnsi="Times New Roman"/>
          <w:b w:val="0"/>
          <w:i w:val="0"/>
          <w:color w:val="000000"/>
          <w:sz w:val="24"/>
          <w:szCs w:val="24"/>
          <w:lang w:val="az-Latn-AZ"/>
        </w:rPr>
      </w:pPr>
      <w:r w:rsidRPr="009C2EF2">
        <w:rPr>
          <w:rFonts w:ascii="Times New Roman" w:hAnsi="Times New Roman"/>
          <w:color w:val="231F20"/>
          <w:spacing w:val="3"/>
          <w:sz w:val="24"/>
          <w:szCs w:val="24"/>
          <w:lang w:val="az-Latn-AZ"/>
        </w:rPr>
        <w:t>Diskont faiz dərəcəsi</w:t>
      </w:r>
    </w:p>
    <w:p w:rsidR="00D02DD9" w:rsidRPr="009C2EF2" w:rsidRDefault="003C64E0">
      <w:pPr>
        <w:pStyle w:val="a3"/>
        <w:numPr>
          <w:ilvl w:val="1"/>
          <w:numId w:val="17"/>
        </w:numPr>
        <w:tabs>
          <w:tab w:val="left" w:pos="1531"/>
        </w:tabs>
        <w:kinsoku w:val="0"/>
        <w:overflowPunct w:val="0"/>
        <w:spacing w:before="122" w:line="250" w:lineRule="auto"/>
        <w:ind w:right="125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tarixində tikinti obyektinin dəyərinin göstərilməsi məqsədilə xalis cari dəyəri müəyyən etmək üçün qalıq metoduna müvafiq olaraq bütün gələcək pul axınları ilə bağlı diskont faiz dərəcəsi tətbiq edilməlidir. Diskont faiz dərəcəsi müxtəlif metodlardan istifadə etməklə </w:t>
      </w:r>
      <w:r w:rsidRPr="009C2EF2">
        <w:rPr>
          <w:rFonts w:ascii="Times New Roman" w:hAnsi="Times New Roman"/>
          <w:i/>
          <w:color w:val="231F20"/>
          <w:spacing w:val="-1"/>
          <w:sz w:val="24"/>
          <w:szCs w:val="24"/>
          <w:lang w:val="az-Latn-AZ"/>
        </w:rPr>
        <w:t>müəyyənləşdirilə bilər</w:t>
      </w:r>
      <w:r w:rsidRPr="009C2EF2">
        <w:rPr>
          <w:rFonts w:ascii="Times New Roman" w:hAnsi="Times New Roman"/>
          <w:color w:val="231F20"/>
          <w:sz w:val="24"/>
          <w:szCs w:val="24"/>
          <w:lang w:val="az-Latn-AZ"/>
        </w:rPr>
        <w:t xml:space="preserve"> (bax: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bölməsinin 50.29-50.31-ci bəndləri).</w:t>
      </w: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3C64E0">
      <w:pPr>
        <w:pStyle w:val="a3"/>
        <w:kinsoku w:val="0"/>
        <w:overflowPunct w:val="0"/>
        <w:spacing w:before="80"/>
        <w:ind w:left="3125" w:right="3289"/>
        <w:jc w:val="center"/>
        <w:rPr>
          <w:rFonts w:ascii="Times New Roman" w:hAnsi="Times New Roman"/>
          <w:color w:val="000000"/>
          <w:sz w:val="24"/>
          <w:szCs w:val="24"/>
          <w:lang w:val="az-Latn-AZ"/>
        </w:rPr>
      </w:pPr>
      <w:r w:rsidRPr="009C2EF2">
        <w:rPr>
          <w:rFonts w:ascii="Times New Roman" w:hAnsi="Times New Roman"/>
          <w:color w:val="231F20"/>
          <w:spacing w:val="4"/>
          <w:sz w:val="24"/>
          <w:szCs w:val="24"/>
          <w:lang w:val="az-Latn-AZ"/>
        </w:rPr>
        <w:t>96</w:t>
      </w:r>
    </w:p>
    <w:p w:rsidR="00D02DD9" w:rsidRPr="009C2EF2" w:rsidRDefault="00D02DD9">
      <w:pPr>
        <w:pStyle w:val="a3"/>
        <w:kinsoku w:val="0"/>
        <w:overflowPunct w:val="0"/>
        <w:spacing w:before="80"/>
        <w:ind w:left="3125" w:right="3289"/>
        <w:jc w:val="center"/>
        <w:rPr>
          <w:rFonts w:ascii="Times New Roman" w:hAnsi="Times New Roman"/>
          <w:color w:val="000000"/>
          <w:sz w:val="24"/>
          <w:szCs w:val="24"/>
          <w:lang w:val="az-Latn-AZ"/>
        </w:rPr>
        <w:sectPr w:rsidR="00D02DD9" w:rsidRPr="009C2EF2">
          <w:footerReference w:type="default" r:id="rId10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5008" behindDoc="1" locked="0" layoutInCell="0" allowOverlap="1">
                <wp:simplePos x="0" y="0"/>
                <wp:positionH relativeFrom="page">
                  <wp:posOffset>5183505</wp:posOffset>
                </wp:positionH>
                <wp:positionV relativeFrom="page">
                  <wp:posOffset>0</wp:posOffset>
                </wp:positionV>
                <wp:extent cx="431800" cy="8423910"/>
                <wp:effectExtent l="0" t="0" r="0" b="0"/>
                <wp:wrapNone/>
                <wp:docPr id="5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7943FE" id="Freeform 211" o:spid="_x0000_s1026" style="position:absolute;margin-left:408.15pt;margin-top:0;width:34pt;height:663.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EC4F78">
      <w:pPr>
        <w:pStyle w:val="a3"/>
        <w:kinsoku w:val="0"/>
        <w:overflowPunct w:val="0"/>
        <w:spacing w:before="79"/>
        <w:ind w:left="2878" w:right="315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1"/>
          <w:numId w:val="17"/>
        </w:numPr>
        <w:tabs>
          <w:tab w:val="left" w:pos="681"/>
        </w:tabs>
        <w:kinsoku w:val="0"/>
        <w:overflowPunct w:val="0"/>
        <w:spacing w:before="77"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Pul axınları qiymətləndirmə tarixindəki dəyər və xərclərə əsaslandıqda onların qiymətləndirmə tarixi və proqnozlaşdırılan başaçatma tarixi arasında dəyişməsi riski nəzərə alınmalı və cari dəyəri hesablamaq üçün istifadə olunan diskont faiz dərəcəsində</w:t>
      </w:r>
      <w:r w:rsidRPr="009C2EF2">
        <w:rPr>
          <w:rFonts w:ascii="Times New Roman" w:hAnsi="Times New Roman"/>
          <w:i/>
          <w:color w:val="231F20"/>
          <w:spacing w:val="1"/>
          <w:sz w:val="24"/>
          <w:szCs w:val="24"/>
          <w:lang w:val="az-Latn-AZ"/>
        </w:rPr>
        <w:t xml:space="preserve"> əks etdirilməlidir.</w:t>
      </w:r>
      <w:r w:rsidRPr="009C2EF2">
        <w:rPr>
          <w:rFonts w:ascii="Times New Roman" w:hAnsi="Times New Roman"/>
          <w:color w:val="231F20"/>
          <w:sz w:val="24"/>
          <w:szCs w:val="24"/>
          <w:lang w:val="az-Latn-AZ"/>
        </w:rPr>
        <w:t xml:space="preserve"> Pul axınları proqnozlaşdırılan dəyər və xərclərə əsaslandıqda bu proqnozların qeyri-dəqiq olmasının təsdiqlənməsi riski </w:t>
      </w:r>
      <w:r w:rsidRPr="009C2EF2">
        <w:rPr>
          <w:rFonts w:ascii="Times New Roman" w:hAnsi="Times New Roman"/>
          <w:i/>
          <w:color w:val="231F20"/>
          <w:spacing w:val="1"/>
          <w:sz w:val="24"/>
          <w:szCs w:val="24"/>
          <w:lang w:val="az-Latn-AZ"/>
        </w:rPr>
        <w:t>nəzərə alınmalı və diskont faiz dərəcəsində göstərilməlidir.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16"/>
        </w:numPr>
        <w:tabs>
          <w:tab w:val="left" w:pos="681"/>
        </w:tabs>
        <w:kinsoku w:val="0"/>
        <w:overflowPunct w:val="0"/>
        <w:ind w:left="680" w:hanging="567"/>
        <w:rPr>
          <w:rFonts w:ascii="Times New Roman" w:hAnsi="Times New Roman"/>
          <w:color w:val="000000"/>
          <w:sz w:val="24"/>
          <w:szCs w:val="24"/>
          <w:lang w:val="az-Latn-AZ"/>
        </w:rPr>
      </w:pPr>
      <w:r w:rsidRPr="009C2EF2">
        <w:rPr>
          <w:rFonts w:ascii="Times New Roman" w:hAnsi="Times New Roman"/>
          <w:b/>
          <w:color w:val="231F20"/>
          <w:spacing w:val="1"/>
          <w:sz w:val="24"/>
          <w:szCs w:val="24"/>
          <w:lang w:val="az-Latn-AZ"/>
        </w:rPr>
        <w:t xml:space="preserve">Mövcud </w:t>
      </w:r>
      <w:r w:rsidRPr="009C2EF2">
        <w:rPr>
          <w:rFonts w:ascii="Times New Roman" w:hAnsi="Times New Roman"/>
          <w:b/>
          <w:i/>
          <w:color w:val="231F20"/>
          <w:spacing w:val="1"/>
          <w:sz w:val="24"/>
          <w:szCs w:val="24"/>
          <w:lang w:val="az-Latn-AZ"/>
        </w:rPr>
        <w:t>aktiv</w:t>
      </w:r>
    </w:p>
    <w:p w:rsidR="00D02DD9" w:rsidRPr="009C2EF2" w:rsidRDefault="003C64E0">
      <w:pPr>
        <w:pStyle w:val="a3"/>
        <w:numPr>
          <w:ilvl w:val="1"/>
          <w:numId w:val="16"/>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 obyektini qiymətləndirən zaman müvafiq daşınmaz əmlakın təklif olunan layihə üçün əlverişliliyini müəyyən etmək zəruri xarakter daşıyır. Müəyyən məsələlər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səlahiyyəti çərçivəsində</w:t>
      </w:r>
      <w:r w:rsidRPr="009C2EF2">
        <w:rPr>
          <w:rFonts w:ascii="Times New Roman" w:hAnsi="Times New Roman"/>
          <w:i/>
          <w:color w:val="231F20"/>
          <w:spacing w:val="-1"/>
          <w:sz w:val="24"/>
          <w:szCs w:val="24"/>
          <w:lang w:val="az-Latn-AZ"/>
        </w:rPr>
        <w:t xml:space="preserve"> olsa da</w:t>
      </w:r>
      <w:r w:rsidRPr="009C2EF2">
        <w:rPr>
          <w:rFonts w:ascii="Times New Roman" w:hAnsi="Times New Roman"/>
          <w:color w:val="231F20"/>
          <w:sz w:val="24"/>
          <w:szCs w:val="24"/>
          <w:lang w:val="az-Latn-AZ"/>
        </w:rPr>
        <w:t xml:space="preserve">, bəziləri digər mütəxəssislərin məlumat və ya hesabat təqdim etməsini </w:t>
      </w:r>
      <w:r w:rsidRPr="009C2EF2">
        <w:rPr>
          <w:rFonts w:ascii="Times New Roman" w:hAnsi="Times New Roman"/>
          <w:i/>
          <w:color w:val="231F20"/>
          <w:spacing w:val="-1"/>
          <w:sz w:val="24"/>
          <w:szCs w:val="24"/>
          <w:lang w:val="az-Latn-AZ"/>
        </w:rPr>
        <w:t>tələb edə bilər.</w:t>
      </w:r>
      <w:r w:rsidRPr="009C2EF2">
        <w:rPr>
          <w:rFonts w:ascii="Times New Roman" w:hAnsi="Times New Roman"/>
          <w:color w:val="231F20"/>
          <w:sz w:val="24"/>
          <w:szCs w:val="24"/>
          <w:lang w:val="az-Latn-AZ"/>
        </w:rPr>
        <w:t xml:space="preserve"> Layihənin icrasına başlamazdan öncə tikinti obyektinin qiymətləndirilməsini apararkən xüsusi araşdırma üzrə mütləq şəkildə nəzərə alınmalı olan məsələlərə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6224" behindDoc="0" locked="0" layoutInCell="0" allowOverlap="1">
                <wp:simplePos x="0" y="0"/>
                <wp:positionH relativeFrom="page">
                  <wp:posOffset>5276215</wp:posOffset>
                </wp:positionH>
                <wp:positionV relativeFrom="paragraph">
                  <wp:posOffset>100965</wp:posOffset>
                </wp:positionV>
                <wp:extent cx="152400" cy="3048635"/>
                <wp:effectExtent l="0" t="0" r="0" b="0"/>
                <wp:wrapNone/>
                <wp:docPr id="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5" type="#_x0000_t202" style="position:absolute;left:0;text-align:left;margin-left:415.45pt;margin-top:7.95pt;width:12pt;height:240.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KwsA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 xml:space="preserve">tikintisi nəzərdə tutulan obyekt üçün bazarın olub olmaması, </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tikintisi nəzərdə tutulan obyektin cari bazarda əmlakdan ən yaxşı və ən səmərəli istifadə olub olmaması,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6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nəzərə alınmalı olan digər qeyri-maliyyə öhdəliklərinin olub olmaması (siyasi və ya sosial meyarlar),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color w:val="231F20"/>
          <w:sz w:val="24"/>
          <w:szCs w:val="24"/>
          <w:lang w:val="az-Latn-AZ"/>
        </w:rPr>
        <w:t>rəsmi icazələr və ya planlaşdırma, o cümlədən, qanuni tikinti işləri ilə bağlı şərt və ya məhdudiyyətlər,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xüsusi sazişə uyğun olaraq müvafiq iştirak payı ilə bağlı tətbiq olunan məhdudiyyətlər, zəmanətlər və ya şərtlər,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ictimai avtomobil yollarına və ya digər ictimai sahələrə giriş hüquqları,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27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geotexniki vəziyyət, o cümlədən çirklənmə təhlükəsi və ya digər ekoloji risklər,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333"/>
        <w:rPr>
          <w:rFonts w:ascii="Times New Roman" w:hAnsi="Times New Roman"/>
          <w:color w:val="000000"/>
          <w:sz w:val="24"/>
          <w:szCs w:val="24"/>
          <w:lang w:val="az-Latn-AZ"/>
        </w:rPr>
      </w:pPr>
      <w:r w:rsidRPr="009C2EF2">
        <w:rPr>
          <w:rFonts w:ascii="Times New Roman" w:hAnsi="Times New Roman"/>
          <w:color w:val="231F20"/>
          <w:sz w:val="24"/>
          <w:szCs w:val="24"/>
          <w:lang w:val="az-Latn-AZ"/>
        </w:rPr>
        <w:t>su, kanalizasiya sistemi və enerji kimi zəruri xidmətlərin mövcudluğu və onların təmin edilməsi və ya təkmilləşdirilməsi ilə bağlı tələblər,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523"/>
        <w:rPr>
          <w:rFonts w:ascii="Times New Roman" w:hAnsi="Times New Roman"/>
          <w:color w:val="000000"/>
          <w:sz w:val="24"/>
          <w:szCs w:val="24"/>
          <w:lang w:val="az-Latn-AZ"/>
        </w:rPr>
      </w:pPr>
      <w:r w:rsidRPr="009C2EF2">
        <w:rPr>
          <w:rFonts w:ascii="Times New Roman" w:hAnsi="Times New Roman"/>
          <w:color w:val="231F20"/>
          <w:sz w:val="24"/>
          <w:szCs w:val="24"/>
          <w:lang w:val="az-Latn-AZ"/>
        </w:rPr>
        <w:t>hər hansı bir kənar infrastrukturun təkmilləşdirilməsi zərurəti və bu işi həyata keçirmək üçün tələb olunan hüquqlar,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94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arxeoloji məhdudiyyətlər və ya arxeoloji tədqiqatların aparılması tələbi,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davamlılıq və ekoloji cəhətdən təhlükəsiz binalar ilə bağlı </w:t>
      </w:r>
      <w:r w:rsidRPr="009C2EF2">
        <w:rPr>
          <w:rFonts w:ascii="Times New Roman" w:hAnsi="Times New Roman"/>
          <w:i/>
          <w:color w:val="231F20"/>
          <w:sz w:val="24"/>
          <w:szCs w:val="24"/>
          <w:lang w:val="az-Latn-AZ"/>
        </w:rPr>
        <w:t xml:space="preserve">müştərilərin </w:t>
      </w:r>
      <w:r w:rsidRPr="009C2EF2">
        <w:rPr>
          <w:rFonts w:ascii="Times New Roman" w:hAnsi="Times New Roman"/>
          <w:color w:val="231F20"/>
          <w:sz w:val="24"/>
          <w:szCs w:val="24"/>
          <w:lang w:val="az-Latn-AZ"/>
        </w:rPr>
        <w:t>tələbləri,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iqtisadi vəziyyət və tendensiyalar və layihənin icra olunduğu müddət ərzində onların xərc və gəlirlərə təsir etmək imkanı,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gələcəkdə istifadə ilə bağlı təkliflər üzrə mövcud və proqnozlaşdırılan tələb və təklif,</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pul vəsaitlərinin mövcud olması və dəyəri,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spacing w:line="250" w:lineRule="auto"/>
        <w:ind w:left="964"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işin icrasına başlamazdan öncə hazırlıq işlərinin yerinə yetirilməsi üçün tələb olunan, müvafiq halda isə tikintisi başa çatdırılmış əmlakı icarəyə vermək və ya satmaq üçün gözlənilən vaxt,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6"/>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tikintisi nəzərdə tutulan obyekt ilə bağlı digər risklər.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spacing w:before="80"/>
        <w:ind w:left="2876"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97</w:t>
      </w:r>
    </w:p>
    <w:p w:rsidR="00D02DD9" w:rsidRPr="009C2EF2" w:rsidRDefault="00D02DD9">
      <w:pPr>
        <w:pStyle w:val="a3"/>
        <w:kinsoku w:val="0"/>
        <w:overflowPunct w:val="0"/>
        <w:spacing w:before="80"/>
        <w:ind w:left="2876" w:right="3725"/>
        <w:jc w:val="center"/>
        <w:rPr>
          <w:rFonts w:ascii="Times New Roman" w:hAnsi="Times New Roman"/>
          <w:color w:val="000000"/>
          <w:sz w:val="24"/>
          <w:szCs w:val="24"/>
          <w:lang w:val="az-Latn-AZ"/>
        </w:rPr>
        <w:sectPr w:rsidR="00D02DD9" w:rsidRPr="009C2EF2">
          <w:footerReference w:type="default" r:id="rId103"/>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6032" behindDoc="1" locked="0" layoutInCell="0" allowOverlap="1">
                <wp:simplePos x="0" y="0"/>
                <wp:positionH relativeFrom="page">
                  <wp:posOffset>0</wp:posOffset>
                </wp:positionH>
                <wp:positionV relativeFrom="page">
                  <wp:posOffset>0</wp:posOffset>
                </wp:positionV>
                <wp:extent cx="432435" cy="8424545"/>
                <wp:effectExtent l="0" t="0" r="0" b="0"/>
                <wp:wrapNone/>
                <wp:docPr id="56"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220F01" id="Freeform 213" o:spid="_x0000_s1026" style="position:absolute;margin-left:0;margin-top:0;width:34.05pt;height:663.3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lDRu5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16"/>
        </w:numPr>
        <w:tabs>
          <w:tab w:val="left" w:pos="1531"/>
        </w:tabs>
        <w:kinsoku w:val="0"/>
        <w:overflowPunct w:val="0"/>
        <w:spacing w:before="77" w:line="250" w:lineRule="auto"/>
        <w:ind w:right="1362"/>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Layihənin icrası aparıldığı müddətdə imzalanmış müqavilələr üzrə layihənin dizaynı, inşa edilməsi və tikinti prosesinə nəzarət ilə bağlı əlavə sorğu və ya araşdırmaların aparılması tələb olunacaq.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5"/>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Maliyyə hesabatı üzrə xüsusi mülahizələr</w:t>
      </w:r>
    </w:p>
    <w:p w:rsidR="00D02DD9" w:rsidRPr="009C2EF2" w:rsidRDefault="003C64E0">
      <w:pPr>
        <w:pStyle w:val="a3"/>
        <w:numPr>
          <w:ilvl w:val="1"/>
          <w:numId w:val="15"/>
        </w:numPr>
        <w:tabs>
          <w:tab w:val="left" w:pos="1531"/>
        </w:tabs>
        <w:kinsoku w:val="0"/>
        <w:overflowPunct w:val="0"/>
        <w:spacing w:before="122"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Tikintisi planlaşdırılan obyekt üzrə mühasibat uçotu prinsipi obyektin uçotu aparan qurum tərəfindən təsnif edilməsi (məsələn, onun satış, icarə obyekti və ya investisiya əmlakı kimi saxlanılması) üsulundan asılı olaraq fərqli ola bilər.  Bu, qiymətləndirmə ilə bağlı tələblərə </w:t>
      </w:r>
      <w:r w:rsidRPr="009C2EF2">
        <w:rPr>
          <w:rFonts w:ascii="Times New Roman" w:hAnsi="Times New Roman"/>
          <w:i/>
          <w:color w:val="231F20"/>
          <w:spacing w:val="-1"/>
          <w:sz w:val="24"/>
          <w:szCs w:val="24"/>
          <w:lang w:val="az-Latn-AZ"/>
        </w:rPr>
        <w:t>təsir edə biləcəyi</w:t>
      </w:r>
      <w:r w:rsidRPr="009C2EF2">
        <w:rPr>
          <w:rFonts w:ascii="Times New Roman" w:hAnsi="Times New Roman"/>
          <w:color w:val="231F20"/>
          <w:sz w:val="24"/>
          <w:szCs w:val="24"/>
          <w:lang w:val="az-Latn-AZ"/>
        </w:rPr>
        <w:t xml:space="preserve"> üçün təsnifat və mühasibat uçotu ilə bağlı şərtlər müvafiq qiymətləndirmə metodunu seçməzdən öncə müəyyən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5"/>
        </w:numPr>
        <w:tabs>
          <w:tab w:val="left" w:pos="1531"/>
        </w:tabs>
        <w:kinsoku w:val="0"/>
        <w:overflowPunct w:val="0"/>
        <w:spacing w:line="250" w:lineRule="auto"/>
        <w:ind w:right="1182"/>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7248" behindDoc="0" locked="0" layoutInCell="0" allowOverlap="1">
                <wp:simplePos x="0" y="0"/>
                <wp:positionH relativeFrom="page">
                  <wp:posOffset>151130</wp:posOffset>
                </wp:positionH>
                <wp:positionV relativeFrom="paragraph">
                  <wp:posOffset>512445</wp:posOffset>
                </wp:positionV>
                <wp:extent cx="152400" cy="3048635"/>
                <wp:effectExtent l="0" t="0" r="0" b="0"/>
                <wp:wrapNone/>
                <wp:docPr id="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4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36" type="#_x0000_t202" style="position:absolute;left:0;text-align:left;margin-left:11.9pt;margin-top:40.35pt;width:12pt;height:240.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mC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410 Tikinti Obyekti</w:t>
                      </w:r>
                    </w:p>
                  </w:txbxContent>
                </v:textbox>
                <w10:wrap anchorx="page"/>
              </v:shape>
            </w:pict>
          </mc:Fallback>
        </mc:AlternateContent>
      </w:r>
      <w:r w:rsidR="003C64E0" w:rsidRPr="009C2EF2">
        <w:rPr>
          <w:rFonts w:ascii="Times New Roman" w:hAnsi="Times New Roman"/>
          <w:color w:val="231F20"/>
          <w:sz w:val="24"/>
          <w:szCs w:val="24"/>
          <w:lang w:val="az-Latn-AZ"/>
        </w:rPr>
        <w:t xml:space="preserve">Maliyyə göstəriciləri, adətən, müəssisəni fəalliyyətini davam etdirən qurum kimi nəzərdə tutmaqla müəyyən olunur. Ona görə də, hipotetik mübadilə zamanı alıcıya hər hansı müqavilənin ötürülməsini nəzərə almaq hətta həmin müqavilə (məsələn, tikinti obyektinin inşası üçün və ya tikinti yekunlaşdıqdan sonra obyektin satışı və ya icarəyə verilməsi üçün) faktiki mübadilə üçün </w:t>
      </w:r>
      <w:r w:rsidR="003C64E0" w:rsidRPr="009C2EF2">
        <w:rPr>
          <w:rFonts w:ascii="Times New Roman" w:hAnsi="Times New Roman"/>
          <w:i/>
          <w:color w:val="231F20"/>
          <w:spacing w:val="-1"/>
          <w:sz w:val="24"/>
          <w:szCs w:val="24"/>
          <w:lang w:val="az-Latn-AZ"/>
        </w:rPr>
        <w:t>ötürülə bilən olmasa</w:t>
      </w:r>
      <w:r w:rsidR="003C64E0" w:rsidRPr="009C2EF2">
        <w:rPr>
          <w:rFonts w:ascii="Times New Roman" w:hAnsi="Times New Roman"/>
          <w:color w:val="231F20"/>
          <w:sz w:val="24"/>
          <w:szCs w:val="24"/>
          <w:lang w:val="az-Latn-AZ"/>
        </w:rPr>
        <w:t xml:space="preserve"> da məqsədəuyğun hesab edilir.  Bu zaman qiymətləndirmə tarixində müqavilə tərəfinin öz öhdəliyini yerinə yetirməməsi riski ilə bağlı sübutun olması istisnalıq təşkil edir.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4"/>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Təminatlı kredit üzrə xüsusi mülahizələr</w:t>
      </w:r>
    </w:p>
    <w:p w:rsidR="00D02DD9" w:rsidRPr="009C2EF2" w:rsidRDefault="003C64E0" w:rsidP="00537609">
      <w:pPr>
        <w:pStyle w:val="a3"/>
        <w:numPr>
          <w:ilvl w:val="1"/>
          <w:numId w:val="14"/>
        </w:numPr>
        <w:tabs>
          <w:tab w:val="left" w:pos="1531"/>
        </w:tabs>
        <w:kinsoku w:val="0"/>
        <w:overflowPunct w:val="0"/>
        <w:spacing w:before="122"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Adətən, bazar dəyəri təminatlı kredit üzrə qiymətləndirmənin aparılması üçün müvafiq baza rolunu oynayır. Lakin tikinti obyektinin dəyərini nəzərə alarkən müvafiq müqavilələrin, o cümlədən, icrası başa çatdırılmış layihənin satışına və ya icarəyə verilməsinə dair müqavilələrin tərəflərdən birinin müflisləşmə ilə bağlı məhkəmə işinə cəlb olunması səbəbilə </w:t>
      </w:r>
      <w:r w:rsidRPr="009C2EF2">
        <w:rPr>
          <w:rFonts w:ascii="Times New Roman" w:hAnsi="Times New Roman"/>
          <w:i/>
          <w:color w:val="231F20"/>
          <w:spacing w:val="1"/>
          <w:sz w:val="24"/>
          <w:szCs w:val="24"/>
          <w:lang w:val="az-Latn-AZ"/>
        </w:rPr>
        <w:t xml:space="preserve">qüvvədən düşə bilməsi </w:t>
      </w:r>
      <w:r w:rsidRPr="009C2EF2">
        <w:rPr>
          <w:rFonts w:ascii="Times New Roman" w:hAnsi="Times New Roman"/>
          <w:color w:val="231F20"/>
          <w:spacing w:val="1"/>
          <w:sz w:val="24"/>
          <w:szCs w:val="24"/>
          <w:lang w:val="az-Latn-AZ"/>
        </w:rPr>
        <w:t xml:space="preserve">ehtimalı </w:t>
      </w:r>
      <w:r w:rsidRPr="009C2EF2">
        <w:rPr>
          <w:rFonts w:ascii="Times New Roman" w:hAnsi="Times New Roman"/>
          <w:i/>
          <w:color w:val="231F20"/>
          <w:spacing w:val="-4"/>
          <w:sz w:val="24"/>
          <w:szCs w:val="24"/>
          <w:lang w:val="az-Latn-AZ"/>
        </w:rPr>
        <w:t>diqqətdə saxlanılmalıdır.</w:t>
      </w:r>
      <w:r w:rsidRPr="009C2EF2">
        <w:rPr>
          <w:rFonts w:ascii="Times New Roman" w:hAnsi="Times New Roman"/>
          <w:color w:val="231F20"/>
          <w:spacing w:val="1"/>
          <w:sz w:val="24"/>
          <w:szCs w:val="24"/>
          <w:lang w:val="az-Latn-AZ"/>
        </w:rPr>
        <w:t xml:space="preserve"> Eyni zamanda, bazar dəyərinə ciddi şəkildə</w:t>
      </w:r>
      <w:r w:rsidRPr="009C2EF2">
        <w:rPr>
          <w:rFonts w:ascii="Times New Roman" w:hAnsi="Times New Roman"/>
          <w:i/>
          <w:color w:val="231F20"/>
          <w:spacing w:val="-1"/>
          <w:sz w:val="24"/>
          <w:szCs w:val="24"/>
          <w:lang w:val="az-Latn-AZ"/>
        </w:rPr>
        <w:t xml:space="preserve"> təsir edə biləcək </w:t>
      </w:r>
      <w:r w:rsidRPr="009C2EF2">
        <w:rPr>
          <w:rFonts w:ascii="Times New Roman" w:hAnsi="Times New Roman"/>
          <w:color w:val="231F20"/>
          <w:spacing w:val="1"/>
          <w:sz w:val="24"/>
          <w:szCs w:val="24"/>
          <w:lang w:val="az-Latn-AZ"/>
        </w:rPr>
        <w:t xml:space="preserve">müqavilə üzrə öhdəliklər </w:t>
      </w:r>
      <w:r w:rsidRPr="009C2EF2">
        <w:rPr>
          <w:rFonts w:ascii="Times New Roman" w:hAnsi="Times New Roman"/>
          <w:i/>
          <w:color w:val="231F20"/>
          <w:spacing w:val="1"/>
          <w:sz w:val="24"/>
          <w:szCs w:val="24"/>
          <w:lang w:val="az-Latn-AZ"/>
        </w:rPr>
        <w:t>nəzərə alınmalıdır.</w:t>
      </w:r>
      <w:r w:rsidRPr="009C2EF2">
        <w:rPr>
          <w:rFonts w:ascii="Times New Roman" w:hAnsi="Times New Roman"/>
          <w:color w:val="231F20"/>
          <w:spacing w:val="1"/>
          <w:sz w:val="24"/>
          <w:szCs w:val="24"/>
          <w:lang w:val="az-Latn-AZ"/>
        </w:rPr>
        <w:t xml:space="preserve"> Buna görə də, </w:t>
      </w:r>
      <w:r w:rsidRPr="009C2EF2">
        <w:rPr>
          <w:rFonts w:ascii="Times New Roman" w:hAnsi="Times New Roman"/>
          <w:color w:val="231F20"/>
          <w:spacing w:val="1"/>
          <w:sz w:val="24"/>
          <w:szCs w:val="24"/>
          <w:lang w:val="az-Latn-AZ"/>
        </w:rPr>
        <w:lastRenderedPageBreak/>
        <w:t xml:space="preserve">borcalan öz öhdəliklərini yerinə yetirmədiyi təqdirdə mövcud tikinti müqavilələrindən və/ və ya ilkin icarə və ilkin satış müqavilələrindən və bu müqavilələr ilə bağlı zəmanət və təminatlardan faydanın əldə edilməməsi səbəbilə borcverənə əmlak üzrə perspektivli alıcının səbəb olduğu </w:t>
      </w:r>
      <w:r w:rsidRPr="009C2EF2">
        <w:rPr>
          <w:rFonts w:ascii="Times New Roman" w:hAnsi="Times New Roman"/>
          <w:i/>
          <w:color w:val="231F20"/>
          <w:spacing w:val="-1"/>
          <w:sz w:val="24"/>
          <w:szCs w:val="24"/>
          <w:lang w:val="az-Latn-AZ"/>
        </w:rPr>
        <w:t xml:space="preserve">risk göstərilməlidir. </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3"/>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0"/>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98</w:t>
      </w:r>
    </w:p>
    <w:p w:rsidR="00D02DD9" w:rsidRPr="009C2EF2" w:rsidRDefault="00D02DD9">
      <w:pPr>
        <w:pStyle w:val="a3"/>
        <w:kinsoku w:val="0"/>
        <w:overflowPunct w:val="0"/>
        <w:spacing w:before="80"/>
        <w:ind w:left="4185" w:right="4350"/>
        <w:jc w:val="center"/>
        <w:rPr>
          <w:rFonts w:ascii="Times New Roman" w:hAnsi="Times New Roman"/>
          <w:color w:val="000000"/>
          <w:sz w:val="24"/>
          <w:szCs w:val="24"/>
          <w:lang w:val="az-Latn-AZ"/>
        </w:rPr>
        <w:sectPr w:rsidR="00D02DD9" w:rsidRPr="009C2EF2">
          <w:footerReference w:type="default" r:id="rId104"/>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7056" behindDoc="1" locked="0" layoutInCell="0" allowOverlap="1">
                <wp:simplePos x="0" y="0"/>
                <wp:positionH relativeFrom="page">
                  <wp:posOffset>5183505</wp:posOffset>
                </wp:positionH>
                <wp:positionV relativeFrom="page">
                  <wp:posOffset>0</wp:posOffset>
                </wp:positionV>
                <wp:extent cx="431800" cy="8423910"/>
                <wp:effectExtent l="0" t="0" r="0" b="0"/>
                <wp:wrapNone/>
                <wp:docPr id="5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B2BF900" id="Freeform 215" o:spid="_x0000_s1026" style="position:absolute;margin-left:408.15pt;margin-top:0;width:34pt;height:663.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y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PipuM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C11094">
      <w:pPr>
        <w:pStyle w:val="a3"/>
        <w:kinsoku w:val="0"/>
        <w:overflowPunct w:val="0"/>
        <w:spacing w:before="79"/>
        <w:ind w:left="2878" w:right="2970"/>
        <w:jc w:val="center"/>
        <w:rPr>
          <w:rFonts w:ascii="Times New Roman" w:hAnsi="Times New Roman"/>
          <w:color w:val="000000"/>
          <w:sz w:val="24"/>
          <w:szCs w:val="24"/>
          <w:lang w:val="az-Latn-AZ"/>
        </w:rPr>
      </w:pPr>
      <w:bookmarkStart w:id="14" w:name="bookmark13"/>
      <w:bookmarkEnd w:id="14"/>
      <w:r w:rsidRPr="009C2EF2">
        <w:rPr>
          <w:rFonts w:ascii="Times New Roman" w:hAnsi="Times New Roman"/>
          <w:i/>
          <w:color w:val="231F20"/>
          <w:sz w:val="24"/>
          <w:szCs w:val="24"/>
          <w:lang w:val="az-Latn-AZ"/>
        </w:rPr>
        <w:t>Aktiv üzrə Standartlar</w:t>
      </w:r>
    </w:p>
    <w:p w:rsidR="00D02DD9" w:rsidRPr="009C2EF2" w:rsidRDefault="00D02DD9">
      <w:pPr>
        <w:pStyle w:val="a3"/>
        <w:kinsoku w:val="0"/>
        <w:overflowPunct w:val="0"/>
        <w:spacing w:before="10"/>
        <w:ind w:left="0"/>
        <w:rPr>
          <w:rFonts w:ascii="Times New Roman" w:hAnsi="Times New Roman"/>
          <w:i/>
          <w:sz w:val="24"/>
          <w:szCs w:val="24"/>
          <w:lang w:val="az-Latn-AZ"/>
        </w:rPr>
      </w:pPr>
    </w:p>
    <w:p w:rsidR="00D02DD9" w:rsidRPr="009C2EF2" w:rsidRDefault="003C64E0">
      <w:pPr>
        <w:pStyle w:val="Heading21"/>
        <w:kinsoku w:val="0"/>
        <w:overflowPunct w:val="0"/>
        <w:outlineLvl w:val="9"/>
        <w:rPr>
          <w:rFonts w:ascii="Times New Roman" w:hAnsi="Times New Roman"/>
          <w:b w:val="0"/>
          <w:color w:val="000000"/>
          <w:szCs w:val="24"/>
          <w:lang w:val="az-Latn-AZ"/>
        </w:rPr>
      </w:pPr>
      <w:r w:rsidRPr="009C2EF2">
        <w:rPr>
          <w:rFonts w:ascii="Times New Roman" w:hAnsi="Times New Roman"/>
          <w:color w:val="231F20"/>
          <w:spacing w:val="-1"/>
          <w:szCs w:val="24"/>
          <w:lang w:val="az-Latn-AZ"/>
        </w:rPr>
        <w:t>BQS 500 Maliyyə Alətləri</w:t>
      </w:r>
    </w:p>
    <w:p w:rsidR="00D02DD9" w:rsidRPr="009C2EF2" w:rsidRDefault="00D02DD9">
      <w:pPr>
        <w:pStyle w:val="a3"/>
        <w:kinsoku w:val="0"/>
        <w:overflowPunct w:val="0"/>
        <w:spacing w:before="9"/>
        <w:ind w:left="0"/>
        <w:rPr>
          <w:rFonts w:ascii="Times New Roman" w:hAnsi="Times New Roman"/>
          <w:b/>
          <w:sz w:val="24"/>
          <w:szCs w:val="24"/>
          <w:lang w:val="az-Latn-AZ"/>
        </w:rPr>
      </w:pPr>
    </w:p>
    <w:tbl>
      <w:tblPr>
        <w:tblW w:w="0" w:type="auto"/>
        <w:tblInd w:w="114" w:type="dxa"/>
        <w:tblLayout w:type="fixed"/>
        <w:tblCellMar>
          <w:left w:w="0" w:type="dxa"/>
          <w:right w:w="0" w:type="dxa"/>
        </w:tblCellMar>
        <w:tblLook w:val="04A0" w:firstRow="1" w:lastRow="0" w:firstColumn="1" w:lastColumn="0" w:noHBand="0" w:noVBand="1"/>
      </w:tblPr>
      <w:tblGrid>
        <w:gridCol w:w="4826"/>
        <w:gridCol w:w="1920"/>
      </w:tblGrid>
      <w:tr w:rsidR="00D02DD9" w:rsidRPr="009C2EF2">
        <w:trPr>
          <w:trHeight w:hRule="exact" w:val="801"/>
        </w:trPr>
        <w:tc>
          <w:tcPr>
            <w:tcW w:w="4826"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pPr>
              <w:pStyle w:val="TableParagraph"/>
              <w:kinsoku w:val="0"/>
              <w:overflowPunct w:val="0"/>
              <w:ind w:left="283"/>
              <w:rPr>
                <w:color w:val="000000"/>
                <w:sz w:val="24"/>
                <w:szCs w:val="24"/>
                <w:lang w:val="az-Latn-AZ"/>
              </w:rPr>
            </w:pPr>
            <w:r w:rsidRPr="009C2EF2">
              <w:rPr>
                <w:b/>
                <w:color w:val="231F20"/>
                <w:spacing w:val="1"/>
                <w:sz w:val="24"/>
                <w:szCs w:val="24"/>
                <w:lang w:val="az-Latn-AZ"/>
              </w:rPr>
              <w:t>Mündəricat</w:t>
            </w:r>
          </w:p>
          <w:p w:rsidR="00D02DD9" w:rsidRPr="009C2EF2" w:rsidRDefault="003C64E0">
            <w:pPr>
              <w:pStyle w:val="TableParagraph"/>
              <w:kinsoku w:val="0"/>
              <w:overflowPunct w:val="0"/>
              <w:spacing w:before="122"/>
              <w:ind w:left="283"/>
              <w:rPr>
                <w:sz w:val="24"/>
                <w:szCs w:val="24"/>
                <w:lang w:val="az-Latn-AZ"/>
              </w:rPr>
            </w:pPr>
            <w:r w:rsidRPr="009C2EF2">
              <w:rPr>
                <w:color w:val="231F20"/>
                <w:spacing w:val="1"/>
                <w:sz w:val="24"/>
                <w:szCs w:val="24"/>
                <w:lang w:val="az-Latn-AZ"/>
              </w:rPr>
              <w:t>İcmal</w:t>
            </w:r>
          </w:p>
        </w:tc>
        <w:tc>
          <w:tcPr>
            <w:tcW w:w="1920" w:type="dxa"/>
            <w:tcBorders>
              <w:top w:val="nil"/>
              <w:left w:val="nil"/>
              <w:bottom w:val="nil"/>
              <w:right w:val="nil"/>
            </w:tcBorders>
            <w:shd w:val="clear" w:color="auto" w:fill="E6E7E8"/>
          </w:tcPr>
          <w:p w:rsidR="00D02DD9" w:rsidRPr="009C2EF2" w:rsidRDefault="00D02DD9">
            <w:pPr>
              <w:pStyle w:val="TableParagraph"/>
              <w:kinsoku w:val="0"/>
              <w:overflowPunct w:val="0"/>
              <w:spacing w:before="3"/>
              <w:rPr>
                <w:b/>
                <w:sz w:val="24"/>
                <w:szCs w:val="24"/>
                <w:lang w:val="az-Latn-AZ"/>
              </w:rPr>
            </w:pPr>
          </w:p>
          <w:p w:rsidR="00D02DD9" w:rsidRPr="009C2EF2" w:rsidRDefault="003C64E0">
            <w:pPr>
              <w:pStyle w:val="TableParagraph"/>
              <w:kinsoku w:val="0"/>
              <w:overflowPunct w:val="0"/>
              <w:ind w:right="279"/>
              <w:jc w:val="right"/>
              <w:rPr>
                <w:color w:val="000000"/>
                <w:sz w:val="24"/>
                <w:szCs w:val="24"/>
                <w:lang w:val="az-Latn-AZ"/>
              </w:rPr>
            </w:pPr>
            <w:r w:rsidRPr="009C2EF2">
              <w:rPr>
                <w:b/>
                <w:color w:val="231F20"/>
                <w:w w:val="95"/>
                <w:sz w:val="24"/>
                <w:szCs w:val="24"/>
                <w:lang w:val="az-Latn-AZ"/>
              </w:rPr>
              <w:t>Bəndlər</w:t>
            </w:r>
          </w:p>
          <w:p w:rsidR="00D02DD9" w:rsidRPr="009C2EF2" w:rsidRDefault="003C64E0">
            <w:pPr>
              <w:pStyle w:val="TableParagraph"/>
              <w:kinsoku w:val="0"/>
              <w:overflowPunct w:val="0"/>
              <w:spacing w:before="122"/>
              <w:ind w:right="281"/>
              <w:jc w:val="right"/>
              <w:rPr>
                <w:sz w:val="24"/>
                <w:szCs w:val="24"/>
                <w:lang w:val="az-Latn-AZ"/>
              </w:rPr>
            </w:pPr>
            <w:r w:rsidRPr="009C2EF2">
              <w:rPr>
                <w:color w:val="231F20"/>
                <w:spacing w:val="-3"/>
                <w:w w:val="95"/>
                <w:sz w:val="24"/>
                <w:szCs w:val="24"/>
                <w:lang w:val="az-Latn-AZ"/>
              </w:rPr>
              <w:t>10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Giriş</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1"/>
                <w:sz w:val="24"/>
                <w:szCs w:val="24"/>
                <w:lang w:val="az-Latn-AZ"/>
              </w:rPr>
              <w:t>20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Dəyər Bazaları</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30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Yanaşmaları və Metodları</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2"/>
                <w:sz w:val="24"/>
                <w:szCs w:val="24"/>
                <w:lang w:val="az-Latn-AZ"/>
              </w:rPr>
              <w:t>40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Bazar yanaşması</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50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Gəlir Yanaşması</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60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Xərc Yanaşması</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sz w:val="24"/>
                <w:szCs w:val="24"/>
                <w:lang w:val="az-Latn-AZ"/>
              </w:rPr>
              <w:t>70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Maliyyə alətləri üzrə xüsusi mülahizələr</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3"/>
                <w:w w:val="95"/>
                <w:sz w:val="24"/>
                <w:szCs w:val="24"/>
                <w:lang w:val="az-Latn-AZ"/>
              </w:rPr>
              <w:t>80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üzrə ilkin məlumatlar</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1"/>
                <w:w w:val="95"/>
                <w:sz w:val="24"/>
                <w:szCs w:val="24"/>
                <w:lang w:val="az-Latn-AZ"/>
              </w:rPr>
              <w:t>90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Kredit riskinin tənzimlənməsi</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z w:val="24"/>
                <w:szCs w:val="24"/>
                <w:lang w:val="az-Latn-AZ"/>
              </w:rPr>
              <w:t>100</w:t>
            </w:r>
          </w:p>
        </w:tc>
      </w:tr>
      <w:tr w:rsidR="00D02DD9" w:rsidRPr="009C2EF2">
        <w:trPr>
          <w:trHeight w:hRule="exact" w:val="273"/>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z w:val="24"/>
                <w:szCs w:val="24"/>
                <w:lang w:val="az-Latn-AZ"/>
              </w:rPr>
              <w:t>Likvidlik və bazar fəaliyyəti</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81"/>
              <w:jc w:val="right"/>
              <w:rPr>
                <w:sz w:val="24"/>
                <w:szCs w:val="24"/>
                <w:lang w:val="az-Latn-AZ"/>
              </w:rPr>
            </w:pPr>
            <w:r w:rsidRPr="009C2EF2">
              <w:rPr>
                <w:color w:val="231F20"/>
                <w:spacing w:val="-7"/>
                <w:sz w:val="24"/>
                <w:szCs w:val="24"/>
                <w:lang w:val="az-Latn-AZ"/>
              </w:rPr>
              <w:t>110</w:t>
            </w:r>
          </w:p>
        </w:tc>
      </w:tr>
      <w:tr w:rsidR="00D02DD9" w:rsidRPr="009C2EF2">
        <w:trPr>
          <w:trHeight w:hRule="exact" w:val="441"/>
        </w:trPr>
        <w:tc>
          <w:tcPr>
            <w:tcW w:w="4826"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left="283"/>
              <w:rPr>
                <w:sz w:val="24"/>
                <w:szCs w:val="24"/>
                <w:lang w:val="az-Latn-AZ"/>
              </w:rPr>
            </w:pPr>
            <w:r w:rsidRPr="009C2EF2">
              <w:rPr>
                <w:color w:val="231F20"/>
                <w:spacing w:val="-1"/>
                <w:sz w:val="24"/>
                <w:szCs w:val="24"/>
                <w:lang w:val="az-Latn-AZ"/>
              </w:rPr>
              <w:t>Qiymətləndirmə Nəzarət və Obyektivlik</w:t>
            </w:r>
          </w:p>
        </w:tc>
        <w:tc>
          <w:tcPr>
            <w:tcW w:w="1920" w:type="dxa"/>
            <w:tcBorders>
              <w:top w:val="nil"/>
              <w:left w:val="nil"/>
              <w:bottom w:val="nil"/>
              <w:right w:val="nil"/>
            </w:tcBorders>
            <w:shd w:val="clear" w:color="auto" w:fill="E6E7E8"/>
          </w:tcPr>
          <w:p w:rsidR="00D02DD9" w:rsidRPr="009C2EF2" w:rsidRDefault="003C64E0">
            <w:pPr>
              <w:pStyle w:val="TableParagraph"/>
              <w:kinsoku w:val="0"/>
              <w:overflowPunct w:val="0"/>
              <w:spacing w:before="23"/>
              <w:ind w:right="279"/>
              <w:jc w:val="right"/>
              <w:rPr>
                <w:sz w:val="24"/>
                <w:szCs w:val="24"/>
                <w:lang w:val="az-Latn-AZ"/>
              </w:rPr>
            </w:pPr>
            <w:r w:rsidRPr="009C2EF2">
              <w:rPr>
                <w:color w:val="231F20"/>
                <w:spacing w:val="-2"/>
                <w:sz w:val="24"/>
                <w:szCs w:val="24"/>
                <w:lang w:val="az-Latn-AZ"/>
              </w:rPr>
              <w:t>120</w:t>
            </w:r>
          </w:p>
        </w:tc>
      </w:tr>
    </w:tbl>
    <w:p w:rsidR="00D02DD9" w:rsidRPr="009C2EF2" w:rsidRDefault="00D02DD9">
      <w:pPr>
        <w:pStyle w:val="a3"/>
        <w:kinsoku w:val="0"/>
        <w:overflowPunct w:val="0"/>
        <w:spacing w:before="2"/>
        <w:ind w:left="0"/>
        <w:rPr>
          <w:rFonts w:ascii="Times New Roman" w:hAnsi="Times New Roman"/>
          <w:b/>
          <w:sz w:val="24"/>
          <w:szCs w:val="24"/>
          <w:lang w:val="az-Latn-AZ"/>
        </w:rPr>
      </w:pPr>
    </w:p>
    <w:p w:rsidR="00D02DD9" w:rsidRPr="009C2EF2" w:rsidRDefault="0075026C">
      <w:pPr>
        <w:pStyle w:val="Heading41"/>
        <w:numPr>
          <w:ilvl w:val="0"/>
          <w:numId w:val="13"/>
        </w:numPr>
        <w:tabs>
          <w:tab w:val="left" w:pos="681"/>
        </w:tabs>
        <w:kinsoku w:val="0"/>
        <w:overflowPunct w:val="0"/>
        <w:spacing w:before="77"/>
        <w:outlineLvl w:val="9"/>
        <w:rPr>
          <w:rFonts w:ascii="Times New Roman" w:hAnsi="Times New Roman"/>
          <w:b w:val="0"/>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8272" behindDoc="0" locked="0" layoutInCell="0" allowOverlap="1">
                <wp:simplePos x="0" y="0"/>
                <wp:positionH relativeFrom="page">
                  <wp:posOffset>5276215</wp:posOffset>
                </wp:positionH>
                <wp:positionV relativeFrom="paragraph">
                  <wp:posOffset>-753110</wp:posOffset>
                </wp:positionV>
                <wp:extent cx="152400" cy="3013075"/>
                <wp:effectExtent l="0" t="0" r="0" b="0"/>
                <wp:wrapNone/>
                <wp:docPr id="5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37" type="#_x0000_t202" style="position:absolute;left:0;text-align:left;margin-left:415.45pt;margin-top:-59.3pt;width:12pt;height:237.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pacing w:val="2"/>
          <w:sz w:val="24"/>
          <w:szCs w:val="24"/>
          <w:lang w:val="az-Latn-AZ"/>
        </w:rPr>
        <w:t>İcmal</w:t>
      </w:r>
    </w:p>
    <w:p w:rsidR="00D02DD9" w:rsidRPr="009C2EF2" w:rsidRDefault="003C64E0">
      <w:pPr>
        <w:pStyle w:val="a3"/>
        <w:numPr>
          <w:ilvl w:val="1"/>
          <w:numId w:val="13"/>
        </w:numPr>
        <w:tabs>
          <w:tab w:val="left" w:pos="681"/>
        </w:tabs>
        <w:kinsoku w:val="0"/>
        <w:overflowPunct w:val="0"/>
        <w:spacing w:before="122" w:line="250" w:lineRule="auto"/>
        <w:ind w:left="680"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Əsas standartlarda nəzərdə tutulan prinsiplər maliyyə alətlərinin qiymətləndirilməsi zamanı tətbiq olunur. Bu standarta yalnız düzəlişlər, əlavə prinsiplər və ya bu standartın tətbiq olunduğu qiymətləndirmələr üzrə Əsas Standartların tətbiq olunma qaydasını özündə əks etdirən xüsusi nümunələr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2"/>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2"/>
          <w:sz w:val="24"/>
          <w:szCs w:val="24"/>
          <w:lang w:val="az-Latn-AZ"/>
        </w:rPr>
        <w:t>Giriş</w:t>
      </w:r>
    </w:p>
    <w:p w:rsidR="00D02DD9" w:rsidRPr="009C2EF2" w:rsidRDefault="003C64E0">
      <w:pPr>
        <w:pStyle w:val="a3"/>
        <w:numPr>
          <w:ilvl w:val="1"/>
          <w:numId w:val="12"/>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aləti ödənişi qəbul etmək və ya həyata keçirmək və ya ödənişlə bağlı digər məsələlər üzrə müəyyən tərəflər arasında hüquq və ya öhdəlikləri yaradan sazişdir. Bu alətlərə törəmə və ya əlavə maliyyə alətləri, hibrit alətlər, sabit gəlir, strukturlaşdırılmış məhsullar və fond alətləri və s. daxildir. Maliyyə aləti, həmçinin, müəyyən xalis maliyyə nəticəsini əldə etmək üçün portfeldə maliyyə alətlərinin birləşdirilməsi yolu ilə yaradıla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2"/>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BQS 500 </w:t>
      </w:r>
      <w:r w:rsidRPr="009C2EF2">
        <w:rPr>
          <w:rFonts w:ascii="Times New Roman" w:hAnsi="Times New Roman"/>
          <w:i/>
          <w:color w:val="231F20"/>
          <w:sz w:val="24"/>
          <w:szCs w:val="24"/>
          <w:lang w:val="az-Latn-AZ"/>
        </w:rPr>
        <w:t xml:space="preserve">Maliyyə Alətləri </w:t>
      </w:r>
      <w:r w:rsidRPr="009C2EF2">
        <w:rPr>
          <w:rFonts w:ascii="Times New Roman" w:hAnsi="Times New Roman"/>
          <w:color w:val="231F20"/>
          <w:spacing w:val="-1"/>
          <w:sz w:val="24"/>
          <w:szCs w:val="24"/>
          <w:lang w:val="az-Latn-AZ"/>
        </w:rPr>
        <w:t xml:space="preserve">bölməsinə müvafiq olaraq maliyyə alətləri üzrə qiymətləndirmələr aşağıdakılar da daxil olmaqla müxtəlif </w:t>
      </w:r>
      <w:r w:rsidRPr="009C2EF2">
        <w:rPr>
          <w:rFonts w:ascii="Times New Roman" w:hAnsi="Times New Roman"/>
          <w:i/>
          <w:color w:val="231F20"/>
          <w:sz w:val="24"/>
          <w:szCs w:val="24"/>
          <w:lang w:val="az-Latn-AZ"/>
        </w:rPr>
        <w:t xml:space="preserve">məqsədlər </w:t>
      </w:r>
      <w:r w:rsidRPr="009C2EF2">
        <w:rPr>
          <w:rFonts w:ascii="Times New Roman" w:hAnsi="Times New Roman"/>
          <w:color w:val="231F20"/>
          <w:spacing w:val="-1"/>
          <w:sz w:val="24"/>
          <w:szCs w:val="24"/>
          <w:lang w:val="az-Latn-AZ"/>
        </w:rPr>
        <w:t>ilə bağlı aparıla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müəssisələrin alqı-satqısı, birləşdirilməsi və ya müəssisələrin hissələrinin satışı,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alqı-satqı,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hesabatı,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spacing w:line="250" w:lineRule="auto"/>
        <w:ind w:left="964" w:right="1012"/>
        <w:rPr>
          <w:rFonts w:ascii="Times New Roman" w:hAnsi="Times New Roman"/>
          <w:color w:val="000000"/>
          <w:sz w:val="24"/>
          <w:szCs w:val="24"/>
          <w:lang w:val="az-Latn-AZ"/>
        </w:rPr>
      </w:pPr>
      <w:r w:rsidRPr="009C2EF2">
        <w:rPr>
          <w:rFonts w:ascii="Times New Roman" w:hAnsi="Times New Roman"/>
          <w:color w:val="231F20"/>
          <w:sz w:val="24"/>
          <w:szCs w:val="24"/>
          <w:lang w:val="az-Latn-AZ"/>
        </w:rPr>
        <w:t>hüquqi və ya normativ tələblər (müvafiq hökumət orqanı tərəfindən müəyyən edilmiş xüsusi şərtlərə uyğun olaraq),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daxili risk və uyğunlaşdırma prosedurları,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vergi və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məhkəmə iddiası</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2"/>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99</w:t>
      </w:r>
    </w:p>
    <w:p w:rsidR="00D02DD9" w:rsidRPr="009C2EF2" w:rsidRDefault="00D02DD9">
      <w:pPr>
        <w:pStyle w:val="a3"/>
        <w:kinsoku w:val="0"/>
        <w:overflowPunct w:val="0"/>
        <w:spacing w:before="80"/>
        <w:ind w:left="2878" w:right="3722"/>
        <w:jc w:val="center"/>
        <w:rPr>
          <w:rFonts w:ascii="Times New Roman" w:hAnsi="Times New Roman"/>
          <w:color w:val="000000"/>
          <w:sz w:val="24"/>
          <w:szCs w:val="24"/>
          <w:lang w:val="az-Latn-AZ"/>
        </w:rPr>
        <w:sectPr w:rsidR="00D02DD9" w:rsidRPr="009C2EF2">
          <w:footerReference w:type="default" r:id="rId105"/>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8080" behindDoc="1" locked="0" layoutInCell="0" allowOverlap="1">
                <wp:simplePos x="0" y="0"/>
                <wp:positionH relativeFrom="page">
                  <wp:posOffset>0</wp:posOffset>
                </wp:positionH>
                <wp:positionV relativeFrom="page">
                  <wp:posOffset>0</wp:posOffset>
                </wp:positionV>
                <wp:extent cx="432435" cy="8424545"/>
                <wp:effectExtent l="0" t="0" r="0" b="0"/>
                <wp:wrapNone/>
                <wp:docPr id="52"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B6A9E02" id="Freeform 217" o:spid="_x0000_s1026" style="position:absolute;margin-left:0;margin-top:0;width:34.05pt;height:663.3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CsGP4i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EC4F78">
      <w:pPr>
        <w:pStyle w:val="a3"/>
        <w:kinsoku w:val="0"/>
        <w:overflowPunct w:val="0"/>
        <w:spacing w:before="80"/>
        <w:ind w:left="3125" w:right="273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1"/>
          <w:numId w:val="12"/>
        </w:numPr>
        <w:tabs>
          <w:tab w:val="left" w:pos="1531"/>
        </w:tabs>
        <w:kinsoku w:val="0"/>
        <w:overflowPunct w:val="0"/>
        <w:spacing w:before="77"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Bənzər və ya müqayisə edilə bilən alətlər üzrə mövcud olan bazar məlumatlarını müəyyən etmək və qiymətləndirmək üçün qiymətləndirilən alətin tam şəkildə başa düşülməsi tələb olunur.  Bu məlumatlara eyni və ya oxşar alət üzrə aparılmış ən son əməliyyatlar nəticəsində əldə olunan qiymətlər, broker və qiymətqoyma xidmətlərinin kotirovkaları, kredit qabiliyyətinin qiymətləndirilməsi, gəlirlilik səviyyəsi, dəyişkənlik, göstəricilər və ya qiymətləndirmə prosesinə uyğun olan digər məlumatlar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12"/>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Xarici investorlar, nəzarət orqanları və ya digər qurumlar tərəfindən istifadə üçün nəzərdə tutulmuş qiymətləndirmələr müəssisə tərəfindən aparıldıqda,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pacing w:val="1"/>
          <w:sz w:val="24"/>
          <w:szCs w:val="24"/>
          <w:lang w:val="az-Latn-AZ"/>
        </w:rPr>
        <w:t xml:space="preserve">identifikasiyası və statusunu BQS 101 </w:t>
      </w:r>
      <w:r w:rsidRPr="009C2EF2">
        <w:rPr>
          <w:rFonts w:ascii="Times New Roman" w:hAnsi="Times New Roman"/>
          <w:i/>
          <w:color w:val="231F20"/>
          <w:spacing w:val="1"/>
          <w:sz w:val="24"/>
          <w:szCs w:val="24"/>
          <w:lang w:val="az-Latn-AZ"/>
        </w:rPr>
        <w:t>İşin Əhatə</w:t>
      </w:r>
      <w:r w:rsidRPr="009C2EF2">
        <w:rPr>
          <w:rFonts w:ascii="Times New Roman" w:hAnsi="Times New Roman"/>
          <w:color w:val="231F20"/>
          <w:spacing w:val="1"/>
          <w:sz w:val="24"/>
          <w:szCs w:val="24"/>
          <w:lang w:val="az-Latn-AZ"/>
        </w:rPr>
        <w:t xml:space="preserve"> </w:t>
      </w:r>
      <w:r w:rsidRPr="009C2EF2">
        <w:rPr>
          <w:rFonts w:ascii="Times New Roman" w:hAnsi="Times New Roman"/>
          <w:i/>
          <w:color w:val="231F20"/>
          <w:sz w:val="24"/>
          <w:szCs w:val="24"/>
          <w:lang w:val="az-Latn-AZ"/>
        </w:rPr>
        <w:t xml:space="preserve">dairəsi </w:t>
      </w:r>
      <w:r w:rsidRPr="009C2EF2">
        <w:rPr>
          <w:rFonts w:ascii="Times New Roman" w:hAnsi="Times New Roman"/>
          <w:color w:val="231F20"/>
          <w:spacing w:val="1"/>
          <w:sz w:val="24"/>
          <w:szCs w:val="24"/>
          <w:lang w:val="az-Latn-AZ"/>
        </w:rPr>
        <w:t xml:space="preserve">bölməsinin 20.3 (a) bəndinin tələblərinə əsasən təsdiqlənməsi üçün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 xml:space="preserve">bölməsinə və BQS 500 </w:t>
      </w:r>
      <w:r w:rsidRPr="009C2EF2">
        <w:rPr>
          <w:rFonts w:ascii="Times New Roman" w:hAnsi="Times New Roman"/>
          <w:i/>
          <w:color w:val="231F20"/>
          <w:sz w:val="24"/>
          <w:szCs w:val="24"/>
          <w:lang w:val="az-Latn-AZ"/>
        </w:rPr>
        <w:t xml:space="preserve">Maliyyə Alətləri </w:t>
      </w:r>
      <w:r w:rsidRPr="009C2EF2">
        <w:rPr>
          <w:rFonts w:ascii="Times New Roman" w:hAnsi="Times New Roman"/>
          <w:color w:val="231F20"/>
          <w:sz w:val="24"/>
          <w:szCs w:val="24"/>
          <w:lang w:val="az-Latn-AZ"/>
        </w:rPr>
        <w:t>bölməsinin nəzarət mühiti ilə bağlı 120.1-120.3 -cü bəndlərinə uyğun olaraq nəzarət mühitinə istinad etmək tələb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1"/>
          <w:numId w:val="12"/>
        </w:numPr>
        <w:tabs>
          <w:tab w:val="left" w:pos="1531"/>
        </w:tabs>
        <w:kinsoku w:val="0"/>
        <w:overflowPunct w:val="0"/>
        <w:spacing w:line="250" w:lineRule="auto"/>
        <w:ind w:right="1527"/>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39296" behindDoc="0" locked="0" layoutInCell="0" allowOverlap="1">
                <wp:simplePos x="0" y="0"/>
                <wp:positionH relativeFrom="page">
                  <wp:posOffset>151130</wp:posOffset>
                </wp:positionH>
                <wp:positionV relativeFrom="paragraph">
                  <wp:posOffset>190500</wp:posOffset>
                </wp:positionV>
                <wp:extent cx="152400" cy="3013075"/>
                <wp:effectExtent l="0" t="0" r="0" b="0"/>
                <wp:wrapNone/>
                <wp:docPr id="5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38" type="#_x0000_t202" style="position:absolute;left:0;text-align:left;margin-left:11.9pt;margin-top:15pt;width:12pt;height:237.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x+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pacing w:val="-8"/>
          <w:sz w:val="24"/>
          <w:szCs w:val="24"/>
          <w:lang w:val="az-Latn-AZ"/>
        </w:rPr>
        <w:t xml:space="preserve">BQS 101 </w:t>
      </w:r>
      <w:r w:rsidR="003C64E0" w:rsidRPr="009C2EF2">
        <w:rPr>
          <w:rFonts w:ascii="Times New Roman" w:hAnsi="Times New Roman"/>
          <w:i/>
          <w:color w:val="231F20"/>
          <w:spacing w:val="1"/>
          <w:sz w:val="24"/>
          <w:szCs w:val="24"/>
          <w:lang w:val="az-Latn-AZ"/>
        </w:rPr>
        <w:t xml:space="preserve">İşin Əhatə dairəsi </w:t>
      </w:r>
      <w:r w:rsidR="003C64E0" w:rsidRPr="009C2EF2">
        <w:rPr>
          <w:rFonts w:ascii="Times New Roman" w:hAnsi="Times New Roman"/>
          <w:color w:val="231F20"/>
          <w:spacing w:val="-8"/>
          <w:sz w:val="24"/>
          <w:szCs w:val="24"/>
          <w:lang w:val="az-Latn-AZ"/>
        </w:rPr>
        <w:t xml:space="preserve">bölməsinin  20.3.(d) bəndinə uyğun olaraq qiymətləndirilməli olan </w:t>
      </w:r>
      <w:r w:rsidR="003C64E0" w:rsidRPr="009C2EF2">
        <w:rPr>
          <w:rFonts w:ascii="Times New Roman" w:hAnsi="Times New Roman"/>
          <w:i/>
          <w:color w:val="231F20"/>
          <w:sz w:val="24"/>
          <w:szCs w:val="24"/>
          <w:lang w:val="az-Latn-AZ"/>
        </w:rPr>
        <w:t xml:space="preserve">aktiv </w:t>
      </w:r>
      <w:r w:rsidR="003C64E0" w:rsidRPr="009C2EF2">
        <w:rPr>
          <w:rFonts w:ascii="Times New Roman" w:hAnsi="Times New Roman"/>
          <w:color w:val="231F20"/>
          <w:spacing w:val="-8"/>
          <w:sz w:val="24"/>
          <w:szCs w:val="24"/>
          <w:lang w:val="az-Latn-AZ"/>
        </w:rPr>
        <w:t xml:space="preserve">və ya passivi müəyyən etmək ilə bağlı tələbə əməl etmək üçün aşağıdakı məsələlər </w:t>
      </w:r>
      <w:r w:rsidR="003C64E0" w:rsidRPr="009C2EF2">
        <w:rPr>
          <w:rFonts w:ascii="Times New Roman" w:hAnsi="Times New Roman"/>
          <w:i/>
          <w:color w:val="231F20"/>
          <w:sz w:val="24"/>
          <w:szCs w:val="24"/>
          <w:lang w:val="az-Latn-AZ"/>
        </w:rPr>
        <w:t>nəzərə alınmalıdır</w:t>
      </w:r>
      <w:r w:rsidR="003C64E0" w:rsidRPr="009C2EF2">
        <w:rPr>
          <w:rFonts w:ascii="Times New Roman" w:hAnsi="Times New Roman"/>
          <w:color w:val="231F20"/>
          <w:spacing w:val="-8"/>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qiymətləndirilən alət sinfi və ya sinifləri,</w:t>
      </w:r>
    </w:p>
    <w:p w:rsidR="00D02DD9" w:rsidRPr="009C2EF2" w:rsidRDefault="003C64E0">
      <w:pPr>
        <w:pStyle w:val="a3"/>
        <w:numPr>
          <w:ilvl w:val="2"/>
          <w:numId w:val="1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qiymətləndirmənin fərdi alətlərə və ya portfel uyğun olaraq aparılması və</w:t>
      </w:r>
    </w:p>
    <w:p w:rsidR="00D02DD9" w:rsidRPr="009C2EF2" w:rsidRDefault="003C64E0">
      <w:pPr>
        <w:pStyle w:val="a3"/>
        <w:numPr>
          <w:ilvl w:val="2"/>
          <w:numId w:val="1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hesab vahidi.</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1"/>
          <w:numId w:val="12"/>
        </w:numPr>
        <w:tabs>
          <w:tab w:val="left" w:pos="1531"/>
        </w:tabs>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BQS 102 Araşdırmalar və Uyğunluq bölməsinin 20.2-20.4-cü bəndlərinin şərtlərinə müvafiq olaraq, qiymətləndirməni əsaslandırmaq üçün tələb olunan araşdırmalar tapşırığın </w:t>
      </w:r>
      <w:r w:rsidRPr="009C2EF2">
        <w:rPr>
          <w:rFonts w:ascii="Times New Roman" w:hAnsi="Times New Roman"/>
          <w:i/>
          <w:color w:val="231F20"/>
          <w:spacing w:val="1"/>
          <w:sz w:val="24"/>
          <w:szCs w:val="24"/>
          <w:lang w:val="az-Latn-AZ"/>
        </w:rPr>
        <w:t xml:space="preserve">məqsədinə </w:t>
      </w:r>
      <w:r w:rsidRPr="009C2EF2">
        <w:rPr>
          <w:rFonts w:ascii="Times New Roman" w:hAnsi="Times New Roman"/>
          <w:i/>
          <w:color w:val="231F20"/>
          <w:sz w:val="24"/>
          <w:szCs w:val="24"/>
          <w:lang w:val="az-Latn-AZ"/>
        </w:rPr>
        <w:t>uyğun olmalıdır</w:t>
      </w:r>
      <w:r w:rsidRPr="009C2EF2">
        <w:rPr>
          <w:rFonts w:ascii="Times New Roman" w:hAnsi="Times New Roman"/>
          <w:color w:val="231F20"/>
          <w:sz w:val="24"/>
          <w:szCs w:val="24"/>
          <w:lang w:val="az-Latn-AZ"/>
        </w:rPr>
        <w:t xml:space="preserve">. Bu araşdırmaları dəstəkləmək üçün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və ya etibarlı üçüncü tərəf tərəfindən verilən məlumatlar </w:t>
      </w:r>
      <w:r w:rsidRPr="009C2EF2">
        <w:rPr>
          <w:rFonts w:ascii="Times New Roman" w:hAnsi="Times New Roman"/>
          <w:i/>
          <w:color w:val="231F20"/>
          <w:sz w:val="24"/>
          <w:szCs w:val="24"/>
          <w:lang w:val="az-Latn-AZ"/>
        </w:rPr>
        <w:t>toplanılmalıdır</w:t>
      </w:r>
      <w:r w:rsidRPr="009C2EF2">
        <w:rPr>
          <w:rFonts w:ascii="Times New Roman" w:hAnsi="Times New Roman"/>
          <w:color w:val="231F20"/>
          <w:sz w:val="24"/>
          <w:szCs w:val="24"/>
          <w:lang w:val="az-Latn-AZ"/>
        </w:rPr>
        <w:t>. Bu tələblərə əməl etmək üçün aşağıdakılar 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 xml:space="preserve">Qiymətləndirmə prosesi zamanı  istifadə edilən və ya nəzərə alınan bütün bazar məlumatları ilə tanış </w:t>
      </w:r>
    </w:p>
    <w:p w:rsidR="00D02DD9" w:rsidRPr="009C2EF2" w:rsidRDefault="003C64E0">
      <w:pPr>
        <w:pStyle w:val="a3"/>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olmaq və zəruri olduqda onların etibarlılığını təsdiqləmək </w:t>
      </w:r>
      <w:r w:rsidRPr="009C2EF2">
        <w:rPr>
          <w:rFonts w:ascii="Times New Roman" w:hAnsi="Times New Roman"/>
          <w:i/>
          <w:color w:val="231F20"/>
          <w:sz w:val="24"/>
          <w:szCs w:val="24"/>
          <w:lang w:val="az-Latn-AZ"/>
        </w:rPr>
        <w:t>tələb olunur</w:t>
      </w:r>
      <w:r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2"/>
        </w:numPr>
        <w:tabs>
          <w:tab w:val="left" w:pos="1815"/>
        </w:tabs>
        <w:kinsoku w:val="0"/>
        <w:overflowPunct w:val="0"/>
        <w:spacing w:line="250" w:lineRule="auto"/>
        <w:ind w:left="1814" w:right="1148"/>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alətinin dəyərini qiymətləndirmək üçün istifadə edilən modeli seçərkən müqavilənin şərtlərinin və maliyyə alətinin iqtisadi aspektlərinin lazımi qaydada idarə edilməsi əsas prioritet hesab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1815"/>
        </w:tabs>
        <w:kinsoku w:val="0"/>
        <w:overflowPunct w:val="0"/>
        <w:spacing w:line="250" w:lineRule="auto"/>
        <w:ind w:left="1814" w:right="117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Oxşar maliyyə alətlərinin cari qiymətləri müəyyən edildikdə və ya bu maliyyə alətlərindən bazar məlumatları əldə olunduqda müqayisə edilə bilən qiymətə (qiymətlərə) əsaslanan həmin məlumatlar və/ və ya cari məlumatlar qiymətləndirilən maliyyə alətinin müqavilə üzrə və iqtisadi şərtlərini əks etdirmək üçün </w:t>
      </w:r>
      <w:r w:rsidRPr="009C2EF2">
        <w:rPr>
          <w:rFonts w:ascii="Times New Roman" w:hAnsi="Times New Roman"/>
          <w:i/>
          <w:color w:val="231F20"/>
          <w:spacing w:val="1"/>
          <w:sz w:val="24"/>
          <w:szCs w:val="24"/>
          <w:lang w:val="az-Latn-AZ"/>
        </w:rPr>
        <w:t>uyğunlaşdırılmalıdır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2"/>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Mümkün olduqda çoxsaylı qiymətləndirmə yanaşmalarının tətbiqinə üstünlük verilir. Qiymətləndirmə yanaşmaları arasında dəyər fərqləri olduqda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həmin fərqli izah etməli və sənədləşdirməlidir.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537609">
      <w:pPr>
        <w:pStyle w:val="a3"/>
        <w:numPr>
          <w:ilvl w:val="1"/>
          <w:numId w:val="12"/>
        </w:numPr>
        <w:tabs>
          <w:tab w:val="left" w:pos="1531"/>
        </w:tabs>
        <w:kinsoku w:val="0"/>
        <w:overflowPunct w:val="0"/>
        <w:spacing w:line="250" w:lineRule="auto"/>
        <w:ind w:right="1209"/>
        <w:rPr>
          <w:rFonts w:ascii="Times New Roman" w:hAnsi="Times New Roman"/>
          <w:color w:val="000000"/>
          <w:sz w:val="24"/>
          <w:szCs w:val="24"/>
          <w:lang w:val="az-Latn-AZ"/>
        </w:rPr>
      </w:pPr>
      <w:r w:rsidRPr="009C2EF2">
        <w:rPr>
          <w:rFonts w:ascii="Times New Roman" w:hAnsi="Times New Roman"/>
          <w:color w:val="231F20"/>
          <w:spacing w:val="-8"/>
          <w:sz w:val="24"/>
          <w:szCs w:val="24"/>
          <w:lang w:val="az-Latn-AZ"/>
        </w:rPr>
        <w:t>Qiymətləndirmə yanaşmasını (yanaşmalarını) açıqlamaq və BQS 103 Hesabat bölməsinin 20.1-ci bəndi üzrə əsaslandırmaq ilə bağlı tələbə əməl etmək üçün hesabat ilə bağlı təfsilatların müvafiq səviyyəsi</w:t>
      </w:r>
      <w:r w:rsidRPr="009C2EF2">
        <w:rPr>
          <w:rFonts w:ascii="Times New Roman" w:hAnsi="Times New Roman"/>
          <w:i/>
          <w:color w:val="231F20"/>
          <w:sz w:val="24"/>
          <w:szCs w:val="24"/>
          <w:lang w:val="az-Latn-AZ"/>
        </w:rPr>
        <w:t xml:space="preserve"> nəzərə alınmalıdır</w:t>
      </w:r>
      <w:r w:rsidRPr="009C2EF2">
        <w:rPr>
          <w:rFonts w:ascii="Times New Roman" w:hAnsi="Times New Roman"/>
          <w:color w:val="231F20"/>
          <w:sz w:val="24"/>
          <w:szCs w:val="24"/>
          <w:lang w:val="az-Latn-AZ"/>
        </w:rPr>
        <w:t xml:space="preserve">. Qiymətləndirmə hesabatında bu informasiyanı açıqlamaq ilə bağlı tələb maliyyə alətlərinin müxtəlif kateqoriyaları üzrə fərqli olacaq. Qiymətləndirilən hər bir alət sinfinin xüsusiyyətləri və dəyərlərə təsir edən əsas amillər ilə tanış olmaq üçün istifadəçilərə zəruri məlumatlar </w:t>
      </w:r>
      <w:r w:rsidRPr="009C2EF2">
        <w:rPr>
          <w:rFonts w:ascii="Times New Roman" w:hAnsi="Times New Roman"/>
          <w:i/>
          <w:color w:val="231F20"/>
          <w:spacing w:val="1"/>
          <w:sz w:val="24"/>
          <w:szCs w:val="24"/>
          <w:lang w:val="az-Latn-AZ"/>
        </w:rPr>
        <w:t>təqdim edilməlidir.</w:t>
      </w:r>
      <w:r w:rsidRPr="009C2EF2">
        <w:rPr>
          <w:rFonts w:ascii="Times New Roman" w:hAnsi="Times New Roman"/>
          <w:color w:val="231F20"/>
          <w:sz w:val="24"/>
          <w:szCs w:val="24"/>
          <w:lang w:val="az-Latn-AZ"/>
        </w:rPr>
        <w:t xml:space="preserve"> İstifadəçilərin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 xml:space="preserve">xüsusiyyətləri ilə tanış olmasında mühüm rol oynamayan və ya dəyərə təsir edən əsas amillər ilə </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100</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106"/>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59104" behindDoc="1" locked="0" layoutInCell="0" allowOverlap="1">
                <wp:simplePos x="0" y="0"/>
                <wp:positionH relativeFrom="page">
                  <wp:posOffset>5183505</wp:posOffset>
                </wp:positionH>
                <wp:positionV relativeFrom="page">
                  <wp:posOffset>0</wp:posOffset>
                </wp:positionV>
                <wp:extent cx="431800" cy="8423910"/>
                <wp:effectExtent l="0" t="0" r="0" b="0"/>
                <wp:wrapNone/>
                <wp:docPr id="50"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F32A72" id="Freeform 219" o:spid="_x0000_s1026" style="position:absolute;margin-left:408.15pt;margin-top:0;width:34pt;height:663.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kY6I5n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EC4F78">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kinsoku w:val="0"/>
        <w:overflowPunct w:val="0"/>
        <w:spacing w:before="77" w:line="250" w:lineRule="auto"/>
        <w:ind w:left="680"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bağlı çətinliklər yaradan məlumatlardan istifadəyə</w:t>
      </w:r>
      <w:r w:rsidRPr="009C2EF2">
        <w:rPr>
          <w:rFonts w:ascii="Times New Roman" w:hAnsi="Times New Roman"/>
          <w:i/>
          <w:color w:val="231F20"/>
          <w:sz w:val="24"/>
          <w:szCs w:val="24"/>
          <w:lang w:val="az-Latn-AZ"/>
        </w:rPr>
        <w:t xml:space="preserve"> yol verilməməlidir.</w:t>
      </w:r>
      <w:r w:rsidRPr="009C2EF2">
        <w:rPr>
          <w:rFonts w:ascii="Times New Roman" w:hAnsi="Times New Roman"/>
          <w:color w:val="231F20"/>
          <w:spacing w:val="1"/>
          <w:sz w:val="24"/>
          <w:szCs w:val="24"/>
          <w:lang w:val="az-Latn-AZ"/>
        </w:rPr>
        <w:t xml:space="preserve"> Məlumatın açıqlanması üzrə müvafiq səviyyəni müəyyən edərkən aşağıdakılar </w:t>
      </w:r>
      <w:r w:rsidRPr="009C2EF2">
        <w:rPr>
          <w:rFonts w:ascii="Times New Roman" w:hAnsi="Times New Roman"/>
          <w:i/>
          <w:color w:val="231F20"/>
          <w:sz w:val="24"/>
          <w:szCs w:val="24"/>
          <w:lang w:val="az-Latn-AZ"/>
        </w:rPr>
        <w:t>nəzərə alınmalıdır: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11"/>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Maddilik: Müəssisənin </w:t>
      </w:r>
      <w:r w:rsidRPr="009C2EF2">
        <w:rPr>
          <w:rFonts w:ascii="Times New Roman" w:hAnsi="Times New Roman"/>
          <w:i/>
          <w:color w:val="231F20"/>
          <w:sz w:val="24"/>
          <w:szCs w:val="24"/>
          <w:lang w:val="az-Latn-AZ"/>
        </w:rPr>
        <w:t xml:space="preserve">aktivlərinin </w:t>
      </w:r>
      <w:r w:rsidRPr="009C2EF2">
        <w:rPr>
          <w:rFonts w:ascii="Times New Roman" w:hAnsi="Times New Roman"/>
          <w:color w:val="231F20"/>
          <w:sz w:val="24"/>
          <w:szCs w:val="24"/>
          <w:lang w:val="az-Latn-AZ"/>
        </w:rPr>
        <w:t>və passivlərinin və ya qiymətləndirilən portfelinin ümumi dəyəri ilə bağlı alətin və ya alətlər sinfinin dəyəri.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11"/>
        </w:numPr>
        <w:tabs>
          <w:tab w:val="left" w:pos="965"/>
        </w:tabs>
        <w:kinsoku w:val="0"/>
        <w:overflowPunct w:val="0"/>
        <w:spacing w:line="250" w:lineRule="auto"/>
        <w:ind w:left="964" w:right="9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Qeyri-müəyyənlik: Alətin dəyəri alətin, istifadə edilən nümunə və ya məlumatların xüsusiyyətləri və ya bazarda mövcud olan qeyri-standart vəziyyət ilə bağlı olaraq qiymətləndirmə tarixində </w:t>
      </w:r>
      <w:r w:rsidRPr="009C2EF2">
        <w:rPr>
          <w:rFonts w:ascii="Times New Roman" w:hAnsi="Times New Roman"/>
          <w:i/>
          <w:color w:val="231F20"/>
          <w:sz w:val="24"/>
          <w:szCs w:val="24"/>
          <w:lang w:val="az-Latn-AZ"/>
        </w:rPr>
        <w:t xml:space="preserve">tamamilə </w:t>
      </w:r>
      <w:r w:rsidRPr="009C2EF2">
        <w:rPr>
          <w:rFonts w:ascii="Times New Roman" w:hAnsi="Times New Roman"/>
          <w:i/>
          <w:color w:val="231F20"/>
          <w:spacing w:val="-1"/>
          <w:sz w:val="24"/>
          <w:szCs w:val="24"/>
          <w:lang w:val="az-Latn-AZ"/>
        </w:rPr>
        <w:t>qeyri-müəyyən ola bilər.</w:t>
      </w:r>
      <w:r w:rsidRPr="009C2EF2">
        <w:rPr>
          <w:rFonts w:ascii="Times New Roman" w:hAnsi="Times New Roman"/>
          <w:color w:val="231F20"/>
          <w:spacing w:val="1"/>
          <w:sz w:val="24"/>
          <w:szCs w:val="24"/>
          <w:lang w:val="az-Latn-AZ"/>
        </w:rPr>
        <w:t xml:space="preserve">  Hər hansı maddi qeyri-müəyyənlik olduqda onun səbəbi və xarakteri </w:t>
      </w:r>
      <w:r w:rsidRPr="009C2EF2">
        <w:rPr>
          <w:rFonts w:ascii="Times New Roman" w:hAnsi="Times New Roman"/>
          <w:i/>
          <w:color w:val="231F20"/>
          <w:spacing w:val="1"/>
          <w:sz w:val="24"/>
          <w:szCs w:val="24"/>
          <w:lang w:val="az-Latn-AZ"/>
        </w:rPr>
        <w:t>izah olunmalıdır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11"/>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Mürəkkəblik: Alət nə qədər mürəkkəb olarsa dəyərə təsir edən ehtimal və məlumatları müəyyənləşdirmək və izah etmək üçün təfsilatın müvafiq səviyyəsi daha əhatəli olacaq.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75026C">
      <w:pPr>
        <w:pStyle w:val="a3"/>
        <w:numPr>
          <w:ilvl w:val="0"/>
          <w:numId w:val="11"/>
        </w:numPr>
        <w:tabs>
          <w:tab w:val="left" w:pos="965"/>
        </w:tabs>
        <w:kinsoku w:val="0"/>
        <w:overflowPunct w:val="0"/>
        <w:spacing w:line="250" w:lineRule="auto"/>
        <w:ind w:left="964" w:right="1241"/>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40320" behindDoc="0" locked="0" layoutInCell="0" allowOverlap="1">
                <wp:simplePos x="0" y="0"/>
                <wp:positionH relativeFrom="page">
                  <wp:posOffset>5276215</wp:posOffset>
                </wp:positionH>
                <wp:positionV relativeFrom="paragraph">
                  <wp:posOffset>111760</wp:posOffset>
                </wp:positionV>
                <wp:extent cx="152400" cy="3013075"/>
                <wp:effectExtent l="0" t="0" r="0" b="0"/>
                <wp:wrapNone/>
                <wp:docPr id="4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39" type="#_x0000_t202" style="position:absolute;left:0;text-align:left;margin-left:415.45pt;margin-top:8.8pt;width:12pt;height:237.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ATsgIAALU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Müqayisə olunma: İstifadəçilərin xüsusi marağına səbəb olan alətlər zamanla </w:t>
      </w:r>
      <w:r w:rsidR="003C64E0" w:rsidRPr="009C2EF2">
        <w:rPr>
          <w:rFonts w:ascii="Times New Roman" w:hAnsi="Times New Roman"/>
          <w:i/>
          <w:color w:val="231F20"/>
          <w:spacing w:val="-1"/>
          <w:sz w:val="24"/>
          <w:szCs w:val="24"/>
          <w:lang w:val="az-Latn-AZ"/>
        </w:rPr>
        <w:t>fərqli ola bilər.</w:t>
      </w:r>
      <w:r w:rsidR="003C64E0" w:rsidRPr="009C2EF2">
        <w:rPr>
          <w:rFonts w:ascii="Times New Roman" w:hAnsi="Times New Roman"/>
          <w:color w:val="231F20"/>
          <w:spacing w:val="1"/>
          <w:sz w:val="24"/>
          <w:szCs w:val="24"/>
          <w:lang w:val="az-Latn-AZ"/>
        </w:rPr>
        <w:t xml:space="preserve"> Qiymətləndirmə üzrə hesabatın faydalılığı və ya qiymətləndirmənin digər bir şəkildə tətbiq olunması bazar vəziyyəti dəyişdikcə qiymətləndirmə istifadəçilərin məlumatla bağlı tələblərini əks etdirdiyi təqdirdə təkmilləşir, buna baxmayaraq təqdim olunan məlumat öncəki dövrlərlə müqayisəyə</w:t>
      </w:r>
      <w:r w:rsidR="003C64E0" w:rsidRPr="009C2EF2">
        <w:rPr>
          <w:rFonts w:ascii="Times New Roman" w:hAnsi="Times New Roman"/>
          <w:i/>
          <w:color w:val="231F20"/>
          <w:spacing w:val="1"/>
          <w:sz w:val="24"/>
          <w:szCs w:val="24"/>
          <w:lang w:val="az-Latn-AZ"/>
        </w:rPr>
        <w:t xml:space="preserve"> imkan yaratmalıdır</w:t>
      </w:r>
      <w:r w:rsidR="003C64E0" w:rsidRPr="009C2EF2">
        <w:rPr>
          <w:rFonts w:ascii="Times New Roman" w:hAnsi="Times New Roman"/>
          <w:color w:val="231F20"/>
          <w:spacing w:val="1"/>
          <w:sz w:val="24"/>
          <w:szCs w:val="24"/>
          <w:lang w:val="az-Latn-AZ"/>
        </w:rPr>
        <w:t xml:space="preserve">.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0"/>
          <w:numId w:val="11"/>
        </w:numPr>
        <w:tabs>
          <w:tab w:val="left" w:pos="965"/>
        </w:tabs>
        <w:kinsoku w:val="0"/>
        <w:overflowPunct w:val="0"/>
        <w:spacing w:line="250" w:lineRule="auto"/>
        <w:ind w:left="964" w:right="1088"/>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 alətləri: Maliyyə alətinin pul axınları  müəyyən edilə bilən əsaslı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və ya öhdəliklər nəticəsində yarandıqda və ya təmin olunduqda, istifadəçilərin əsas dəyərin maliyyə alətinin hesablanmış dəyərinə necə təsir etdiyini anlamalarına kömək etmək üçün əsas dəyərə təsir edən müvafiq amillər </w:t>
      </w:r>
      <w:r w:rsidRPr="009C2EF2">
        <w:rPr>
          <w:rFonts w:ascii="Times New Roman" w:hAnsi="Times New Roman"/>
          <w:i/>
          <w:color w:val="231F20"/>
          <w:sz w:val="24"/>
          <w:szCs w:val="24"/>
          <w:lang w:val="az-Latn-AZ"/>
        </w:rPr>
        <w:t>təqdim edilməlidir.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10"/>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Dəyər Bazaları</w:t>
      </w:r>
    </w:p>
    <w:p w:rsidR="00D02DD9" w:rsidRPr="009C2EF2" w:rsidRDefault="003C64E0">
      <w:pPr>
        <w:pStyle w:val="a3"/>
        <w:numPr>
          <w:ilvl w:val="1"/>
          <w:numId w:val="10"/>
        </w:numPr>
        <w:tabs>
          <w:tab w:val="left" w:pos="681"/>
        </w:tabs>
        <w:kinsoku w:val="0"/>
        <w:overflowPunct w:val="0"/>
        <w:spacing w:before="122" w:line="250" w:lineRule="auto"/>
        <w:ind w:left="680" w:right="1643"/>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BQS 104 Dəyər Bazaları standartına uyğun olaraq qiymətləndirici maliyyə alətlərini qiymətləndirərkən uyğun dəyər bazasını (bazalarını) </w:t>
      </w:r>
      <w:r w:rsidRPr="009C2EF2">
        <w:rPr>
          <w:rFonts w:ascii="Times New Roman" w:hAnsi="Times New Roman"/>
          <w:i/>
          <w:color w:val="231F20"/>
          <w:sz w:val="24"/>
          <w:szCs w:val="24"/>
          <w:lang w:val="az-Latn-AZ"/>
        </w:rPr>
        <w:t>müəyyən etməlidir.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0"/>
        </w:numPr>
        <w:tabs>
          <w:tab w:val="left" w:pos="681"/>
        </w:tabs>
        <w:kinsoku w:val="0"/>
        <w:overflowPunct w:val="0"/>
        <w:spacing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Adətən, maliyyə aləti üzrə qiymətləndirmələr BQSŞ (bəzi nümunələr BQS 104 Dəyər Bazaları bölməsində qeyd olunub) tərəfindən deyil, digər müəssisələr/ təşkilatlar  tərəfindən müəyyən edilmiş dəyər </w:t>
      </w:r>
    </w:p>
    <w:p w:rsidR="00D02DD9" w:rsidRPr="009C2EF2" w:rsidRDefault="003C64E0">
      <w:pPr>
        <w:pStyle w:val="a3"/>
        <w:kinsoku w:val="0"/>
        <w:overflowPunct w:val="0"/>
        <w:spacing w:line="250" w:lineRule="auto"/>
        <w:ind w:left="680" w:right="1368"/>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bazalarından istifadə etməklə aparılır. Belə olduqda </w:t>
      </w:r>
      <w:r w:rsidRPr="009C2EF2">
        <w:rPr>
          <w:rFonts w:ascii="Times New Roman" w:hAnsi="Times New Roman"/>
          <w:i/>
          <w:color w:val="231F20"/>
          <w:spacing w:val="-1"/>
          <w:sz w:val="24"/>
          <w:szCs w:val="24"/>
          <w:lang w:val="az-Latn-AZ"/>
        </w:rPr>
        <w:t xml:space="preserve">qiymətləndirici </w:t>
      </w:r>
      <w:r w:rsidRPr="009C2EF2">
        <w:rPr>
          <w:rFonts w:ascii="Times New Roman" w:hAnsi="Times New Roman"/>
          <w:color w:val="231F20"/>
          <w:sz w:val="24"/>
          <w:szCs w:val="24"/>
          <w:lang w:val="az-Latn-AZ"/>
        </w:rPr>
        <w:t xml:space="preserve">qaydaları, hüquq normalarının tətbiqi təcrübəsini, vergi qanunlarını və dəyər bazaları ilə bağlı digər metodoloji prinsipləri başa düşmək və onlara əməl etmək məsuliyyəti daşıyır.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9"/>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Yanaşmaları və Metodları</w:t>
      </w:r>
    </w:p>
    <w:p w:rsidR="00D02DD9" w:rsidRPr="009C2EF2" w:rsidRDefault="003C64E0">
      <w:pPr>
        <w:pStyle w:val="a3"/>
        <w:numPr>
          <w:ilvl w:val="1"/>
          <w:numId w:val="9"/>
        </w:numPr>
        <w:tabs>
          <w:tab w:val="left" w:pos="681"/>
        </w:tabs>
        <w:kinsoku w:val="0"/>
        <w:overflowPunct w:val="0"/>
        <w:spacing w:before="122" w:line="250" w:lineRule="auto"/>
        <w:ind w:left="680" w:right="1241"/>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 standartın tələblərinə əlavə olaraq yanaşma və üsul seçərkən qiymətləndirici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pacing w:val="1"/>
          <w:sz w:val="24"/>
          <w:szCs w:val="24"/>
          <w:lang w:val="az-Latn-AZ"/>
        </w:rPr>
        <w:t xml:space="preserve"> bölməsinin şərtlərini </w:t>
      </w:r>
      <w:r w:rsidRPr="009C2EF2">
        <w:rPr>
          <w:rFonts w:ascii="Times New Roman" w:hAnsi="Times New Roman"/>
          <w:i/>
          <w:color w:val="231F20"/>
          <w:sz w:val="24"/>
          <w:szCs w:val="24"/>
          <w:lang w:val="az-Latn-AZ"/>
        </w:rPr>
        <w:t>nəzərə almalıdır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
        </w:numPr>
        <w:tabs>
          <w:tab w:val="left" w:pos="681"/>
        </w:tabs>
        <w:kinsoku w:val="0"/>
        <w:overflowPunct w:val="0"/>
        <w:spacing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Maliyyə alətlərini qiymətləndirərkən 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z w:val="24"/>
          <w:szCs w:val="24"/>
          <w:lang w:val="az-Latn-AZ"/>
        </w:rPr>
        <w:t>bölməsində nəzərdə tutulan üç qiymətləndirmə yanaşması tətbiq oluna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9"/>
        </w:numPr>
        <w:tabs>
          <w:tab w:val="left" w:pos="681"/>
        </w:tabs>
        <w:kinsoku w:val="0"/>
        <w:overflowPunct w:val="0"/>
        <w:spacing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Maliyyə bazarlarında tətbiq olunan müxtəlif qiymətləndirmə metodları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bölməsində qeyd olunduğu kimi bazar yanaşması, gəlir yanaşması və ya xərc yanaşmasındakı fərqlərə əsaslanır.  Bu standart, göstərilən metodları tətbiq edərkən nəzərə alınmalı olan ümumi metodlar və məsələlərdən, həmçinin, zəruri hesab olunan məlumatlardan bəhs edir.</w:t>
      </w: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101</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107"/>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0128" behindDoc="1" locked="0" layoutInCell="0" allowOverlap="1">
                <wp:simplePos x="0" y="0"/>
                <wp:positionH relativeFrom="page">
                  <wp:posOffset>0</wp:posOffset>
                </wp:positionH>
                <wp:positionV relativeFrom="page">
                  <wp:posOffset>0</wp:posOffset>
                </wp:positionV>
                <wp:extent cx="432435" cy="8424545"/>
                <wp:effectExtent l="0" t="0" r="0" b="0"/>
                <wp:wrapNone/>
                <wp:docPr id="4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148CBB" id="Freeform 221" o:spid="_x0000_s1026" style="position:absolute;margin-left:0;margin-top:0;width:34.05pt;height:663.3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RPXJ5WQDAACF&#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80"/>
        <w:ind w:left="3125" w:right="3293"/>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1"/>
        <w:ind w:left="0"/>
        <w:rPr>
          <w:rFonts w:ascii="Times New Roman" w:hAnsi="Times New Roman"/>
          <w:i/>
          <w:sz w:val="24"/>
          <w:szCs w:val="24"/>
          <w:lang w:val="az-Latn-AZ"/>
        </w:rPr>
      </w:pPr>
    </w:p>
    <w:p w:rsidR="00D02DD9" w:rsidRPr="009C2EF2" w:rsidRDefault="003C64E0">
      <w:pPr>
        <w:pStyle w:val="a3"/>
        <w:numPr>
          <w:ilvl w:val="1"/>
          <w:numId w:val="9"/>
        </w:numPr>
        <w:tabs>
          <w:tab w:val="left" w:pos="1531"/>
        </w:tabs>
        <w:kinsoku w:val="0"/>
        <w:overflowPunct w:val="0"/>
        <w:spacing w:before="77" w:line="250" w:lineRule="auto"/>
        <w:ind w:right="1235"/>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Xüsusi bir qiymətləndirmə metodundan və ya modelindən istifadə edərkən həmin metod və ya modelin bazardakı cari  vəziyyəti əks etdirməsini təmin etmək üçün metod və ya modelin müntəzəm əsasda bazar məlumatlarına uyğun şəkildə qiymətləndirilməsi zəruri xarakter daşıyır.  Bazar şəraiti dəyişdiyi üçün daha əlverişli modeldən istifadə etmək və ya mövcud modeli dəyişdirmək və yenidən qiymətləndirmək və /və ya qiymətləndirmə məlumatları ilə bağlı əlavə uyğunlaşdırma aparmaq </w:t>
      </w:r>
      <w:r w:rsidRPr="009C2EF2">
        <w:rPr>
          <w:rFonts w:ascii="Times New Roman" w:hAnsi="Times New Roman"/>
          <w:i/>
          <w:color w:val="231F20"/>
          <w:spacing w:val="-1"/>
          <w:sz w:val="24"/>
          <w:szCs w:val="24"/>
          <w:lang w:val="az-Latn-AZ"/>
        </w:rPr>
        <w:t>tələb oluna bilər.</w:t>
      </w:r>
      <w:r w:rsidRPr="009C2EF2">
        <w:rPr>
          <w:rFonts w:ascii="Times New Roman" w:hAnsi="Times New Roman"/>
          <w:color w:val="231F20"/>
          <w:spacing w:val="1"/>
          <w:sz w:val="24"/>
          <w:szCs w:val="24"/>
          <w:lang w:val="az-Latn-AZ"/>
        </w:rPr>
        <w:t xml:space="preserve"> Bu cür uyğunlaşdırma qiymətləndirmənin </w:t>
      </w:r>
      <w:r w:rsidRPr="009C2EF2">
        <w:rPr>
          <w:rFonts w:ascii="Times New Roman" w:hAnsi="Times New Roman"/>
          <w:i/>
          <w:color w:val="231F20"/>
          <w:spacing w:val="1"/>
          <w:sz w:val="24"/>
          <w:szCs w:val="24"/>
          <w:lang w:val="az-Latn-AZ"/>
        </w:rPr>
        <w:t xml:space="preserve">məqsədinə </w:t>
      </w:r>
      <w:r w:rsidRPr="009C2EF2">
        <w:rPr>
          <w:rFonts w:ascii="Times New Roman" w:hAnsi="Times New Roman"/>
          <w:color w:val="231F20"/>
          <w:spacing w:val="1"/>
          <w:sz w:val="24"/>
          <w:szCs w:val="24"/>
          <w:lang w:val="az-Latn-AZ"/>
        </w:rPr>
        <w:t xml:space="preserve">müvafiq şəkildə seçilmiş tələb olunan qiymətləndirmə bazası ilə uyğunluğu təmin etmək üçün </w:t>
      </w:r>
      <w:r w:rsidRPr="009C2EF2">
        <w:rPr>
          <w:rFonts w:ascii="Times New Roman" w:hAnsi="Times New Roman"/>
          <w:i/>
          <w:color w:val="231F20"/>
          <w:spacing w:val="1"/>
          <w:sz w:val="24"/>
          <w:szCs w:val="24"/>
          <w:lang w:val="az-Latn-AZ"/>
        </w:rPr>
        <w:t>aparılmalıdır</w:t>
      </w:r>
      <w:r w:rsidRPr="009C2EF2">
        <w:rPr>
          <w:rFonts w:ascii="Times New Roman" w:hAnsi="Times New Roman"/>
          <w:color w:val="231F20"/>
          <w:spacing w:val="1"/>
          <w:sz w:val="24"/>
          <w:szCs w:val="24"/>
          <w:lang w:val="az-Latn-AZ"/>
        </w:rPr>
        <w:t xml:space="preserve"> (bax: BQS </w:t>
      </w:r>
      <w:r w:rsidRPr="009C2EF2">
        <w:rPr>
          <w:rFonts w:ascii="Times New Roman" w:hAnsi="Times New Roman"/>
          <w:i/>
          <w:color w:val="231F20"/>
          <w:sz w:val="24"/>
          <w:szCs w:val="24"/>
          <w:lang w:val="az-Latn-AZ"/>
        </w:rPr>
        <w:t xml:space="preserve">Çərçivə </w:t>
      </w:r>
      <w:r w:rsidRPr="009C2EF2">
        <w:rPr>
          <w:rFonts w:ascii="Times New Roman" w:hAnsi="Times New Roman"/>
          <w:color w:val="231F20"/>
          <w:spacing w:val="1"/>
          <w:sz w:val="24"/>
          <w:szCs w:val="24"/>
          <w:lang w:val="az-Latn-AZ"/>
        </w:rPr>
        <w:t>bölməsi).</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8"/>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Bazar yanaşması</w:t>
      </w:r>
    </w:p>
    <w:p w:rsidR="00D02DD9" w:rsidRPr="009C2EF2" w:rsidRDefault="0075026C">
      <w:pPr>
        <w:pStyle w:val="a3"/>
        <w:numPr>
          <w:ilvl w:val="1"/>
          <w:numId w:val="8"/>
        </w:numPr>
        <w:tabs>
          <w:tab w:val="left" w:pos="1531"/>
        </w:tabs>
        <w:kinsoku w:val="0"/>
        <w:overflowPunct w:val="0"/>
        <w:spacing w:before="122" w:line="250" w:lineRule="auto"/>
        <w:ind w:right="1216"/>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41344" behindDoc="0" locked="0" layoutInCell="0" allowOverlap="1">
                <wp:simplePos x="0" y="0"/>
                <wp:positionH relativeFrom="page">
                  <wp:posOffset>151130</wp:posOffset>
                </wp:positionH>
                <wp:positionV relativeFrom="paragraph">
                  <wp:posOffset>715645</wp:posOffset>
                </wp:positionV>
                <wp:extent cx="152400" cy="3013075"/>
                <wp:effectExtent l="0" t="0" r="0" b="0"/>
                <wp:wrapNone/>
                <wp:docPr id="4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40" type="#_x0000_t202" style="position:absolute;left:0;text-align:left;margin-left:11.9pt;margin-top:56.35pt;width:12pt;height:237.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z w:val="24"/>
          <w:szCs w:val="24"/>
          <w:lang w:val="az-Latn-AZ"/>
        </w:rPr>
        <w:t>Qiymətləndirmənin həyata keçirildiyi vaxt və ya tarixdə və ya qiymətləndirmə ərəfəsində şəffaf mübadilə üzrə kommersiya fəaliyyətindən əldə olunmuş qiymət, əsasən, oxşar alətin əldə olunmasının bazar dəyəri üçün ən yaxşı göstərici rolunu oynayır. Qiymətləndirmə tarixinə yaxın zamanda heç bir müvafiq əməliyyat aparılmayıbsa kotirovka qiyməti və ya razılaşdırılmış qiymət ilə bağlı məlumatlar və ya xüsusi əməliyyatlar</w:t>
      </w:r>
      <w:r w:rsidR="003C64E0" w:rsidRPr="009C2EF2">
        <w:rPr>
          <w:rFonts w:ascii="Times New Roman" w:hAnsi="Times New Roman"/>
          <w:i/>
          <w:color w:val="231F20"/>
          <w:spacing w:val="-1"/>
          <w:sz w:val="24"/>
          <w:szCs w:val="24"/>
          <w:lang w:val="az-Latn-AZ"/>
        </w:rPr>
        <w:t xml:space="preserve"> əsas götürülə bilər.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8"/>
        </w:numPr>
        <w:tabs>
          <w:tab w:val="left" w:pos="1531"/>
        </w:tabs>
        <w:kinsoku w:val="0"/>
        <w:overflowPunct w:val="0"/>
        <w:spacing w:line="250" w:lineRule="auto"/>
        <w:ind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Cari alət ilə qiymətləndirilən alət arasında oxşarlıq olmadıqda və ya qiymət ilə bağlı məlumatlar yeni deyilsə qiymət ilə bağlı məlumatlara </w:t>
      </w:r>
      <w:r w:rsidRPr="009C2EF2">
        <w:rPr>
          <w:rFonts w:ascii="Times New Roman" w:hAnsi="Times New Roman"/>
          <w:i/>
          <w:color w:val="231F20"/>
          <w:spacing w:val="-1"/>
          <w:sz w:val="24"/>
          <w:szCs w:val="24"/>
          <w:lang w:val="az-Latn-AZ"/>
        </w:rPr>
        <w:t xml:space="preserve">düzəliş etmək tələb oluna bilər. </w:t>
      </w:r>
      <w:r w:rsidRPr="009C2EF2">
        <w:rPr>
          <w:rFonts w:ascii="Times New Roman" w:hAnsi="Times New Roman"/>
          <w:color w:val="231F20"/>
          <w:sz w:val="24"/>
          <w:szCs w:val="24"/>
          <w:lang w:val="az-Latn-AZ"/>
        </w:rPr>
        <w:t xml:space="preserve"> Məsələn, cari qiymət qiymətləndirilən alət ilə bir və ya daha çox fərqli xüsusiyyətə malik oxşar alətlərə uyğun gəldikdə cari </w:t>
      </w:r>
    </w:p>
    <w:p w:rsidR="00D02DD9" w:rsidRPr="009C2EF2" w:rsidRDefault="003C64E0">
      <w:pPr>
        <w:pStyle w:val="a3"/>
        <w:kinsoku w:val="0"/>
        <w:overflowPunct w:val="0"/>
        <w:spacing w:line="250" w:lineRule="auto"/>
        <w:ind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qiymətə əsasən nəzərdə tutulan ilkin məlumatlar qiymətləndirilən maliyyə alətinin xüsusi şərtlərini əks etdirmək üçün uyğunlaşdırılmalıdır.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8"/>
        </w:numPr>
        <w:tabs>
          <w:tab w:val="left" w:pos="1531"/>
        </w:tabs>
        <w:kinsoku w:val="0"/>
        <w:overflowPunct w:val="0"/>
        <w:spacing w:line="250" w:lineRule="auto"/>
        <w:ind w:right="132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Qiymətqoyma xidmətinin müəyyən etdiyi qiymətə istinad etdikdə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pacing w:val="1"/>
          <w:sz w:val="24"/>
          <w:szCs w:val="24"/>
          <w:lang w:val="az-Latn-AZ"/>
        </w:rPr>
        <w:t>qiymətin əldə olunma üsulunu tam şəkildə anlamalıdır.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7"/>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Gəlir Yanaşması</w:t>
      </w:r>
    </w:p>
    <w:p w:rsidR="00D02DD9" w:rsidRPr="009C2EF2" w:rsidRDefault="003C64E0">
      <w:pPr>
        <w:pStyle w:val="a3"/>
        <w:numPr>
          <w:ilvl w:val="1"/>
          <w:numId w:val="7"/>
        </w:numPr>
        <w:tabs>
          <w:tab w:val="left" w:pos="1531"/>
        </w:tabs>
        <w:kinsoku w:val="0"/>
        <w:overflowPunct w:val="0"/>
        <w:spacing w:before="122" w:line="250" w:lineRule="auto"/>
        <w:ind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 xml:space="preserve">Maliyyə alətlərinin dəyəri diskontlaşdırılmış pul axını metodunu tətbiq etməklə </w:t>
      </w:r>
      <w:r w:rsidRPr="009C2EF2">
        <w:rPr>
          <w:rFonts w:ascii="Times New Roman" w:hAnsi="Times New Roman"/>
          <w:i/>
          <w:color w:val="231F20"/>
          <w:spacing w:val="-1"/>
          <w:sz w:val="24"/>
          <w:szCs w:val="24"/>
          <w:lang w:val="az-Latn-AZ"/>
        </w:rPr>
        <w:t>müəyyən edilə bilər</w:t>
      </w:r>
      <w:r w:rsidRPr="009C2EF2">
        <w:rPr>
          <w:rFonts w:ascii="Times New Roman" w:hAnsi="Times New Roman"/>
          <w:color w:val="231F20"/>
          <w:sz w:val="24"/>
          <w:szCs w:val="24"/>
          <w:lang w:val="az-Latn-AZ"/>
        </w:rPr>
        <w:t>. Maliyyə alətinin şərtləri diskontlaşdırılmamış pul axınlarının qiymətləndirilməsinə imkan yaradır. Maliyyə alətinin şərtlərində, əsasən, aşağıdakılar göstərilir: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
        </w:numPr>
        <w:tabs>
          <w:tab w:val="left" w:pos="1815"/>
        </w:tabs>
        <w:kinsoku w:val="0"/>
        <w:overflowPunct w:val="0"/>
        <w:spacing w:line="250" w:lineRule="auto"/>
        <w:ind w:left="1814" w:right="1527"/>
        <w:rPr>
          <w:rFonts w:ascii="Times New Roman" w:hAnsi="Times New Roman"/>
          <w:color w:val="000000"/>
          <w:sz w:val="24"/>
          <w:szCs w:val="24"/>
          <w:lang w:val="az-Latn-AZ"/>
        </w:rPr>
      </w:pPr>
      <w:r w:rsidRPr="009C2EF2">
        <w:rPr>
          <w:rFonts w:ascii="Times New Roman" w:hAnsi="Times New Roman"/>
          <w:color w:val="231F20"/>
          <w:sz w:val="24"/>
          <w:szCs w:val="24"/>
          <w:lang w:val="az-Latn-AZ"/>
        </w:rPr>
        <w:t>pul axınları üzrə vaxt bölgüsü, yəni, müəssisənin alətlə bağlı pul axınlarının reallaşdırılması üçün gözlədiyi vaxt,</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
        </w:numPr>
        <w:tabs>
          <w:tab w:val="left" w:pos="1815"/>
        </w:tabs>
        <w:kinsoku w:val="0"/>
        <w:overflowPunct w:val="0"/>
        <w:spacing w:line="250" w:lineRule="auto"/>
        <w:ind w:left="1814" w:right="137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pul axınlarının hesablanması, məsələn, borc aləti üzrə, tətbiq olunan faiz dərəcəsi və ya törəmə alət üzrə pul axınlarının əsas alət və ya indeks (indekslər) ilə bağlı hesablanma qaydası,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
        </w:numPr>
        <w:tabs>
          <w:tab w:val="left" w:pos="1815"/>
        </w:tabs>
        <w:kinsoku w:val="0"/>
        <w:overflowPunct w:val="0"/>
        <w:spacing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müqavilədə nəzərdə tutulmuş opsionlar ilə bağlı vaxt bölgüsü və şərtlər, məsələn,  alqı-satqı (ikili opsion) və ya konversiya opsionları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alətin tərəflərinin hüquqlarının müdafiəsi, məsələn, borc alətlərində kredit riski ilə bağlı şərtlər və ya digər alətlərdən üstünlük və ya asılılıq.</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7"/>
        </w:numPr>
        <w:tabs>
          <w:tab w:val="left" w:pos="1531"/>
        </w:tabs>
        <w:kinsoku w:val="0"/>
        <w:overflowPunct w:val="0"/>
        <w:spacing w:line="250" w:lineRule="auto"/>
        <w:ind w:right="1461"/>
        <w:rPr>
          <w:rFonts w:ascii="Times New Roman" w:hAnsi="Times New Roman"/>
          <w:color w:val="000000"/>
          <w:sz w:val="24"/>
          <w:szCs w:val="24"/>
          <w:lang w:val="az-Latn-AZ"/>
        </w:rPr>
      </w:pPr>
      <w:r w:rsidRPr="009C2EF2">
        <w:rPr>
          <w:rFonts w:ascii="Times New Roman" w:hAnsi="Times New Roman"/>
          <w:color w:val="231F20"/>
          <w:sz w:val="24"/>
          <w:szCs w:val="24"/>
          <w:lang w:val="az-Latn-AZ"/>
        </w:rPr>
        <w:t>Müvafiq diskont faiz dərəcəsini müəyyən edərkən pulun müvəqqəti dəyərini və aşağıdakılar ilə bağlı potensial riskləri kompensasiya etmək üçün alət üzrə tələb olunacaq gəliri qiymətləndirmək zəruri hesab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7"/>
        </w:numPr>
        <w:tabs>
          <w:tab w:val="left" w:pos="1815"/>
        </w:tabs>
        <w:kinsoku w:val="0"/>
        <w:overflowPunct w:val="0"/>
        <w:ind w:left="964" w:firstLine="566"/>
        <w:rPr>
          <w:rFonts w:ascii="Times New Roman" w:hAnsi="Times New Roman"/>
          <w:color w:val="000000"/>
          <w:sz w:val="24"/>
          <w:szCs w:val="24"/>
          <w:lang w:val="az-Latn-AZ"/>
        </w:rPr>
      </w:pPr>
      <w:r w:rsidRPr="009C2EF2">
        <w:rPr>
          <w:rFonts w:ascii="Times New Roman" w:hAnsi="Times New Roman"/>
          <w:color w:val="231F20"/>
          <w:sz w:val="24"/>
          <w:szCs w:val="24"/>
          <w:lang w:val="az-Latn-AZ"/>
        </w:rPr>
        <w:t>alətlə bağlı şərt və müddəalar, məsələn, asılılıq,</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102</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108"/>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1152" behindDoc="1" locked="0" layoutInCell="0" allowOverlap="1">
                <wp:simplePos x="0" y="0"/>
                <wp:positionH relativeFrom="page">
                  <wp:posOffset>5183505</wp:posOffset>
                </wp:positionH>
                <wp:positionV relativeFrom="page">
                  <wp:posOffset>0</wp:posOffset>
                </wp:positionV>
                <wp:extent cx="431800" cy="8423910"/>
                <wp:effectExtent l="0" t="0" r="0" b="0"/>
                <wp:wrapNone/>
                <wp:docPr id="46"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C59A35" id="Freeform 223" o:spid="_x0000_s1026" style="position:absolute;margin-left:408.15pt;margin-top:0;width:34pt;height:663.3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bSdw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Du7NbS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EC4F78">
      <w:pPr>
        <w:pStyle w:val="a3"/>
        <w:kinsoku w:val="0"/>
        <w:overflowPunct w:val="0"/>
        <w:spacing w:before="79"/>
        <w:ind w:left="2878" w:right="252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pPr>
        <w:pStyle w:val="a3"/>
        <w:numPr>
          <w:ilvl w:val="2"/>
          <w:numId w:val="7"/>
        </w:numPr>
        <w:tabs>
          <w:tab w:val="left" w:pos="965"/>
        </w:tabs>
        <w:kinsoku w:val="0"/>
        <w:overflowPunct w:val="0"/>
        <w:spacing w:before="77" w:line="250" w:lineRule="auto"/>
        <w:ind w:left="964" w:right="1446"/>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 yəni, qarşı tərəfin müvafiq vaxtda ödəniş etmək imkanının qeyri-dəqiq olması,</w:t>
      </w:r>
    </w:p>
    <w:p w:rsidR="00D02DD9" w:rsidRPr="009C2EF2" w:rsidRDefault="003C64E0">
      <w:pPr>
        <w:pStyle w:val="a3"/>
        <w:numPr>
          <w:ilvl w:val="2"/>
          <w:numId w:val="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alətin likvidliyi və satış üçün yararlı olması,</w:t>
      </w:r>
    </w:p>
    <w:p w:rsidR="00D02DD9" w:rsidRPr="009C2EF2" w:rsidRDefault="003C64E0">
      <w:pPr>
        <w:pStyle w:val="a3"/>
        <w:numPr>
          <w:ilvl w:val="2"/>
          <w:numId w:val="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tənzimləyici və ya hüquqi mühit ilə bağlı dəyişiklik riski və</w:t>
      </w:r>
    </w:p>
    <w:p w:rsidR="00D02DD9" w:rsidRPr="009C2EF2" w:rsidRDefault="003C64E0">
      <w:pPr>
        <w:pStyle w:val="a3"/>
        <w:numPr>
          <w:ilvl w:val="2"/>
          <w:numId w:val="7"/>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alətin vergi statusu.</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75026C" w:rsidP="00537609">
      <w:pPr>
        <w:pStyle w:val="a3"/>
        <w:numPr>
          <w:ilvl w:val="1"/>
          <w:numId w:val="7"/>
        </w:numPr>
        <w:tabs>
          <w:tab w:val="left" w:pos="681"/>
        </w:tabs>
        <w:kinsoku w:val="0"/>
        <w:overflowPunct w:val="0"/>
        <w:spacing w:line="250" w:lineRule="auto"/>
        <w:ind w:left="680" w:right="1038"/>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42368" behindDoc="0" locked="0" layoutInCell="0" allowOverlap="1">
                <wp:simplePos x="0" y="0"/>
                <wp:positionH relativeFrom="page">
                  <wp:posOffset>5276215</wp:posOffset>
                </wp:positionH>
                <wp:positionV relativeFrom="paragraph">
                  <wp:posOffset>1071880</wp:posOffset>
                </wp:positionV>
                <wp:extent cx="152400" cy="3013075"/>
                <wp:effectExtent l="0" t="0" r="0" b="0"/>
                <wp:wrapNone/>
                <wp:docPr id="4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41" type="#_x0000_t202" style="position:absolute;left:0;text-align:left;margin-left:415.45pt;margin-top:84.4pt;width:12pt;height:237.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pacing w:val="1"/>
          <w:sz w:val="24"/>
          <w:szCs w:val="24"/>
          <w:lang w:val="az-Latn-AZ"/>
        </w:rPr>
        <w:t xml:space="preserve">Gələcək pul axınları müqavilədə göstərilmiş sabit məbləğə əsaslanmadıqda zəruri məlumatları müəyyən etmək üçün gözlənilən pul axınları üzrə hesablamalar aparmaq lazım olacaq. Diskont faiz dərəcəsinin müəyyənləşdirilməsi zamanı pul axınları ilə bağlı olan risklər </w:t>
      </w:r>
      <w:r w:rsidR="003C64E0" w:rsidRPr="009C2EF2">
        <w:rPr>
          <w:rFonts w:ascii="Times New Roman" w:hAnsi="Times New Roman"/>
          <w:i/>
          <w:color w:val="231F20"/>
          <w:sz w:val="24"/>
          <w:szCs w:val="24"/>
          <w:lang w:val="az-Latn-AZ"/>
        </w:rPr>
        <w:t>əks olunmalı və nəzərə alınmalıdır.</w:t>
      </w:r>
      <w:r w:rsidR="003C64E0" w:rsidRPr="009C2EF2">
        <w:rPr>
          <w:rFonts w:ascii="Times New Roman" w:hAnsi="Times New Roman"/>
          <w:color w:val="231F20"/>
          <w:spacing w:val="1"/>
          <w:sz w:val="24"/>
          <w:szCs w:val="24"/>
          <w:lang w:val="az-Latn-AZ"/>
        </w:rPr>
        <w:t xml:space="preserve"> Məsələn, gözlənilən pul axınları kredit üzrə zərər nəzərə alınmadan hesablandıqda diskont faiz dərəcəsi kredit riski komponentinə uyğun olaraq </w:t>
      </w:r>
      <w:r w:rsidR="003C64E0" w:rsidRPr="009C2EF2">
        <w:rPr>
          <w:rFonts w:ascii="Times New Roman" w:hAnsi="Times New Roman"/>
          <w:i/>
          <w:color w:val="231F20"/>
          <w:sz w:val="24"/>
          <w:szCs w:val="24"/>
          <w:lang w:val="az-Latn-AZ"/>
        </w:rPr>
        <w:t>azaldılmalıdır.</w:t>
      </w:r>
      <w:r w:rsidR="003C64E0" w:rsidRPr="009C2EF2">
        <w:rPr>
          <w:rFonts w:ascii="Times New Roman" w:hAnsi="Times New Roman"/>
          <w:color w:val="231F20"/>
          <w:spacing w:val="1"/>
          <w:sz w:val="24"/>
          <w:szCs w:val="24"/>
          <w:lang w:val="az-Latn-AZ"/>
        </w:rPr>
        <w:t xml:space="preserve"> </w:t>
      </w:r>
      <w:r w:rsidR="003C64E0" w:rsidRPr="009C2EF2">
        <w:rPr>
          <w:rFonts w:ascii="Times New Roman" w:hAnsi="Times New Roman"/>
          <w:i/>
          <w:color w:val="231F20"/>
          <w:spacing w:val="1"/>
          <w:sz w:val="24"/>
          <w:szCs w:val="24"/>
          <w:lang w:val="az-Latn-AZ"/>
        </w:rPr>
        <w:t xml:space="preserve">Qiymətləndirmənin məqsədindən </w:t>
      </w:r>
      <w:r w:rsidR="003C64E0" w:rsidRPr="009C2EF2">
        <w:rPr>
          <w:rFonts w:ascii="Times New Roman" w:hAnsi="Times New Roman"/>
          <w:color w:val="231F20"/>
          <w:spacing w:val="1"/>
          <w:sz w:val="24"/>
          <w:szCs w:val="24"/>
          <w:lang w:val="az-Latn-AZ"/>
        </w:rPr>
        <w:t xml:space="preserve">asılı olaraq pul axını modeli ilə bağlı irəli sürülən məlumat və ehtimallar </w:t>
      </w:r>
      <w:r w:rsidR="003C64E0" w:rsidRPr="009C2EF2">
        <w:rPr>
          <w:rFonts w:ascii="Times New Roman" w:hAnsi="Times New Roman"/>
          <w:i/>
          <w:color w:val="231F20"/>
          <w:sz w:val="24"/>
          <w:szCs w:val="24"/>
          <w:lang w:val="az-Latn-AZ"/>
        </w:rPr>
        <w:t xml:space="preserve">iştirakçıların </w:t>
      </w:r>
      <w:r w:rsidR="003C64E0" w:rsidRPr="009C2EF2">
        <w:rPr>
          <w:rFonts w:ascii="Times New Roman" w:hAnsi="Times New Roman"/>
          <w:color w:val="231F20"/>
          <w:spacing w:val="-1"/>
          <w:sz w:val="24"/>
          <w:szCs w:val="24"/>
          <w:lang w:val="az-Latn-AZ"/>
        </w:rPr>
        <w:t xml:space="preserve">təqdim etdiyi məlumat və ehtimalları və ya sahibkarın cari gözlənti və ya planlarına əsaslanan məlumat və ehtimalları əks etdirməlidir. Məsələn, qiymətləndirmə MHBS-ə uyğun olaraq bazar dəyərini və ya ədalətli dəyəri müəyyən etmək </w:t>
      </w:r>
      <w:r w:rsidR="003C64E0" w:rsidRPr="009C2EF2">
        <w:rPr>
          <w:rFonts w:ascii="Times New Roman" w:hAnsi="Times New Roman"/>
          <w:i/>
          <w:color w:val="231F20"/>
          <w:spacing w:val="1"/>
          <w:sz w:val="24"/>
          <w:szCs w:val="24"/>
          <w:lang w:val="az-Latn-AZ"/>
        </w:rPr>
        <w:t xml:space="preserve">məqsədi </w:t>
      </w:r>
      <w:r w:rsidR="003C64E0" w:rsidRPr="009C2EF2">
        <w:rPr>
          <w:rFonts w:ascii="Times New Roman" w:hAnsi="Times New Roman"/>
          <w:color w:val="231F20"/>
          <w:sz w:val="24"/>
          <w:szCs w:val="24"/>
          <w:lang w:val="az-Latn-AZ"/>
        </w:rPr>
        <w:t xml:space="preserve">daşıdıqda ehtimallar </w:t>
      </w:r>
      <w:r w:rsidR="003C64E0" w:rsidRPr="009C2EF2">
        <w:rPr>
          <w:rFonts w:ascii="Times New Roman" w:hAnsi="Times New Roman"/>
          <w:i/>
          <w:color w:val="231F20"/>
          <w:sz w:val="24"/>
          <w:szCs w:val="24"/>
          <w:lang w:val="az-Latn-AZ"/>
        </w:rPr>
        <w:t xml:space="preserve">iştirakçıların </w:t>
      </w:r>
      <w:r w:rsidR="003C64E0" w:rsidRPr="009C2EF2">
        <w:rPr>
          <w:rFonts w:ascii="Times New Roman" w:hAnsi="Times New Roman"/>
          <w:color w:val="231F20"/>
          <w:sz w:val="24"/>
          <w:szCs w:val="24"/>
          <w:lang w:val="az-Latn-AZ"/>
        </w:rPr>
        <w:t>təqdim etdiyi məlumat və ehtimalları</w:t>
      </w:r>
      <w:r w:rsidR="003C64E0" w:rsidRPr="009C2EF2">
        <w:rPr>
          <w:rFonts w:ascii="Times New Roman" w:hAnsi="Times New Roman"/>
          <w:i/>
          <w:color w:val="231F20"/>
          <w:spacing w:val="1"/>
          <w:sz w:val="24"/>
          <w:szCs w:val="24"/>
          <w:lang w:val="az-Latn-AZ"/>
        </w:rPr>
        <w:t xml:space="preserve"> əks etdirməlidir.</w:t>
      </w:r>
      <w:r w:rsidR="003C64E0" w:rsidRPr="009C2EF2">
        <w:rPr>
          <w:rFonts w:ascii="Times New Roman" w:hAnsi="Times New Roman"/>
          <w:color w:val="231F20"/>
          <w:sz w:val="24"/>
          <w:szCs w:val="24"/>
          <w:lang w:val="az-Latn-AZ"/>
        </w:rPr>
        <w:t xml:space="preserve"> Lakin qiymətləndirmə </w:t>
      </w:r>
      <w:r w:rsidR="003C64E0" w:rsidRPr="009C2EF2">
        <w:rPr>
          <w:rFonts w:ascii="Times New Roman" w:hAnsi="Times New Roman"/>
          <w:i/>
          <w:color w:val="231F20"/>
          <w:sz w:val="24"/>
          <w:szCs w:val="24"/>
          <w:lang w:val="az-Latn-AZ"/>
        </w:rPr>
        <w:t xml:space="preserve">aktivin </w:t>
      </w:r>
      <w:r w:rsidR="003C64E0" w:rsidRPr="009C2EF2">
        <w:rPr>
          <w:rFonts w:ascii="Times New Roman" w:hAnsi="Times New Roman"/>
          <w:color w:val="231F20"/>
          <w:sz w:val="24"/>
          <w:szCs w:val="24"/>
          <w:lang w:val="az-Latn-AZ"/>
        </w:rPr>
        <w:t xml:space="preserve">fəaliyyətini rəhbərliyin müəyyən etdiyi standartlar, məsələn, planlaşdırılan daxili mənfəət norması ilə müqayisədə qiymətləndirmək </w:t>
      </w:r>
      <w:r w:rsidR="003C64E0" w:rsidRPr="009C2EF2">
        <w:rPr>
          <w:rFonts w:ascii="Times New Roman" w:hAnsi="Times New Roman"/>
          <w:i/>
          <w:color w:val="231F20"/>
          <w:spacing w:val="1"/>
          <w:sz w:val="24"/>
          <w:szCs w:val="24"/>
          <w:lang w:val="az-Latn-AZ"/>
        </w:rPr>
        <w:t xml:space="preserve">məqsədi </w:t>
      </w:r>
      <w:r w:rsidR="003C64E0" w:rsidRPr="009C2EF2">
        <w:rPr>
          <w:rFonts w:ascii="Times New Roman" w:hAnsi="Times New Roman"/>
          <w:color w:val="231F20"/>
          <w:sz w:val="24"/>
          <w:szCs w:val="24"/>
          <w:lang w:val="az-Latn-AZ"/>
        </w:rPr>
        <w:t xml:space="preserve"> daşıdıqda alternativ ehtimalların tətbiqi </w:t>
      </w:r>
      <w:r w:rsidR="003C64E0" w:rsidRPr="009C2EF2">
        <w:rPr>
          <w:rFonts w:ascii="Times New Roman" w:hAnsi="Times New Roman"/>
          <w:i/>
          <w:color w:val="231F20"/>
          <w:spacing w:val="-2"/>
          <w:sz w:val="24"/>
          <w:szCs w:val="24"/>
          <w:lang w:val="az-Latn-AZ"/>
        </w:rPr>
        <w:t>uyğun hesab edilə bilər</w:t>
      </w:r>
      <w:r w:rsidR="003C64E0" w:rsidRPr="009C2EF2">
        <w:rPr>
          <w:rFonts w:ascii="Times New Roman" w:hAnsi="Times New Roman"/>
          <w:color w:val="231F20"/>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6"/>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Xərc Yanaşması</w:t>
      </w:r>
    </w:p>
    <w:p w:rsidR="00D02DD9" w:rsidRPr="009C2EF2" w:rsidRDefault="003C64E0">
      <w:pPr>
        <w:pStyle w:val="a3"/>
        <w:numPr>
          <w:ilvl w:val="1"/>
          <w:numId w:val="6"/>
        </w:numPr>
        <w:tabs>
          <w:tab w:val="left" w:pos="681"/>
        </w:tabs>
        <w:kinsoku w:val="0"/>
        <w:overflowPunct w:val="0"/>
        <w:spacing w:before="122" w:line="250" w:lineRule="auto"/>
        <w:ind w:left="680" w:right="1007"/>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Xərc yanaşmasını tətbiq edərkən qiymətləndiricilər BQS 105 </w:t>
      </w:r>
      <w:r w:rsidRPr="009C2EF2">
        <w:rPr>
          <w:rFonts w:ascii="Times New Roman" w:hAnsi="Times New Roman"/>
          <w:i/>
          <w:color w:val="231F20"/>
          <w:spacing w:val="-1"/>
          <w:sz w:val="24"/>
          <w:szCs w:val="24"/>
          <w:lang w:val="az-Latn-AZ"/>
        </w:rPr>
        <w:t>Qiymətləndirmə Yanaşmaları və Metodları</w:t>
      </w:r>
      <w:r w:rsidRPr="009C2EF2">
        <w:rPr>
          <w:rFonts w:ascii="Times New Roman" w:hAnsi="Times New Roman"/>
          <w:color w:val="231F20"/>
          <w:sz w:val="24"/>
          <w:szCs w:val="24"/>
          <w:lang w:val="az-Latn-AZ"/>
        </w:rPr>
        <w:t xml:space="preserve"> bölməsinin 70.1 və 70.14.-cü bəndlərinin şərtlərini </w:t>
      </w:r>
      <w:r w:rsidRPr="009C2EF2">
        <w:rPr>
          <w:rFonts w:ascii="Times New Roman" w:hAnsi="Times New Roman"/>
          <w:i/>
          <w:color w:val="231F20"/>
          <w:sz w:val="24"/>
          <w:szCs w:val="24"/>
          <w:lang w:val="az-Latn-AZ"/>
        </w:rPr>
        <w:t>nəzərə almalıdırlar.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5"/>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Maliyyə alətləri üzrə xüsusi mülahizələr</w:t>
      </w:r>
    </w:p>
    <w:p w:rsidR="00D02DD9" w:rsidRPr="009C2EF2" w:rsidRDefault="003C64E0">
      <w:pPr>
        <w:pStyle w:val="a3"/>
        <w:numPr>
          <w:ilvl w:val="1"/>
          <w:numId w:val="5"/>
        </w:numPr>
        <w:tabs>
          <w:tab w:val="left" w:pos="681"/>
        </w:tabs>
        <w:kinsoku w:val="0"/>
        <w:overflowPunct w:val="0"/>
        <w:spacing w:before="122" w:line="250" w:lineRule="auto"/>
        <w:ind w:left="680" w:right="1057"/>
        <w:rPr>
          <w:rFonts w:ascii="Times New Roman" w:hAnsi="Times New Roman"/>
          <w:color w:val="000000"/>
          <w:sz w:val="24"/>
          <w:szCs w:val="24"/>
          <w:lang w:val="az-Latn-AZ"/>
        </w:rPr>
      </w:pPr>
      <w:r w:rsidRPr="009C2EF2">
        <w:rPr>
          <w:rFonts w:ascii="Times New Roman" w:hAnsi="Times New Roman"/>
          <w:color w:val="231F20"/>
          <w:sz w:val="24"/>
          <w:szCs w:val="24"/>
          <w:lang w:val="az-Latn-AZ"/>
        </w:rPr>
        <w:t>Aşağıdakı bölmələr maliyyə alətlərinin qiymətləndirilməsinə müvafiq olan mövzuların natamam siyahısını əks etdirir.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üzrə ilkin məlumatlar (90-cı bölmə).</w:t>
      </w:r>
    </w:p>
    <w:p w:rsidR="00D02DD9" w:rsidRPr="009C2EF2" w:rsidRDefault="003C64E0">
      <w:pPr>
        <w:pStyle w:val="a3"/>
        <w:numPr>
          <w:ilvl w:val="2"/>
          <w:numId w:val="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 (100-cü bölmə).</w:t>
      </w:r>
    </w:p>
    <w:p w:rsidR="00D02DD9" w:rsidRPr="009C2EF2" w:rsidRDefault="003C64E0">
      <w:pPr>
        <w:pStyle w:val="a3"/>
        <w:numPr>
          <w:ilvl w:val="2"/>
          <w:numId w:val="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z w:val="24"/>
          <w:szCs w:val="24"/>
          <w:lang w:val="az-Latn-AZ"/>
        </w:rPr>
        <w:t>Likvidlik və Bazar Fəaliyyəti (110-cu bölmə).</w:t>
      </w:r>
    </w:p>
    <w:p w:rsidR="00D02DD9" w:rsidRPr="009C2EF2" w:rsidRDefault="003C64E0">
      <w:pPr>
        <w:pStyle w:val="a3"/>
        <w:numPr>
          <w:ilvl w:val="2"/>
          <w:numId w:val="5"/>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Nəzarət Mühiti (120-ci bölmə).</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Heading41"/>
        <w:numPr>
          <w:ilvl w:val="0"/>
          <w:numId w:val="4"/>
        </w:numPr>
        <w:tabs>
          <w:tab w:val="left" w:pos="681"/>
        </w:tabs>
        <w:kinsoku w:val="0"/>
        <w:overflowPunct w:val="0"/>
        <w:outlineLvl w:val="9"/>
        <w:rPr>
          <w:rFonts w:ascii="Times New Roman" w:hAnsi="Times New Roman"/>
          <w:b w:val="0"/>
          <w:color w:val="000000"/>
          <w:sz w:val="24"/>
          <w:szCs w:val="24"/>
          <w:lang w:val="az-Latn-AZ"/>
        </w:rPr>
      </w:pPr>
      <w:r w:rsidRPr="009C2EF2">
        <w:rPr>
          <w:rFonts w:ascii="Times New Roman" w:hAnsi="Times New Roman"/>
          <w:color w:val="231F20"/>
          <w:spacing w:val="-6"/>
          <w:sz w:val="24"/>
          <w:szCs w:val="24"/>
          <w:lang w:val="az-Latn-AZ"/>
        </w:rPr>
        <w:t>Qiymətləndirmə üzrə ilkin məlumatlar</w:t>
      </w:r>
    </w:p>
    <w:p w:rsidR="00D02DD9" w:rsidRPr="009C2EF2" w:rsidRDefault="003C64E0">
      <w:pPr>
        <w:pStyle w:val="a3"/>
        <w:numPr>
          <w:ilvl w:val="1"/>
          <w:numId w:val="4"/>
        </w:numPr>
        <w:tabs>
          <w:tab w:val="left" w:pos="681"/>
        </w:tabs>
        <w:kinsoku w:val="0"/>
        <w:overflowPunct w:val="0"/>
        <w:spacing w:before="122" w:line="250" w:lineRule="auto"/>
        <w:ind w:left="680" w:right="1088"/>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BQS 105 </w:t>
      </w:r>
      <w:r w:rsidRPr="009C2EF2">
        <w:rPr>
          <w:rFonts w:ascii="Times New Roman" w:hAnsi="Times New Roman"/>
          <w:i/>
          <w:color w:val="231F20"/>
          <w:spacing w:val="-1"/>
          <w:sz w:val="24"/>
          <w:szCs w:val="24"/>
          <w:lang w:val="az-Latn-AZ"/>
        </w:rPr>
        <w:t xml:space="preserve">Qiymətləndirmə Yanaşmaları və Metodları </w:t>
      </w:r>
      <w:r w:rsidRPr="009C2EF2">
        <w:rPr>
          <w:rFonts w:ascii="Times New Roman" w:hAnsi="Times New Roman"/>
          <w:color w:val="231F20"/>
          <w:spacing w:val="1"/>
          <w:sz w:val="24"/>
          <w:szCs w:val="24"/>
          <w:lang w:val="az-Latn-AZ"/>
        </w:rPr>
        <w:t xml:space="preserve">bölməsinin 10.7-ci bəndinə əsasən, qiymətləndirmə məlumatları kimi istifadə edilən məlumatlar onların əldə olunduğu mənbələr və təchizatçı tərəfindən tənzimlənmə forması (əgər varsa) nəzərə alınmaqla qiymətləndirmə üzrə əsas məlumatlardan istifadənin əhəmiyyətini aydınlaşdırmaq üçün </w:t>
      </w:r>
      <w:r w:rsidRPr="009C2EF2">
        <w:rPr>
          <w:rFonts w:ascii="Times New Roman" w:hAnsi="Times New Roman"/>
          <w:i/>
          <w:color w:val="231F20"/>
          <w:spacing w:val="1"/>
          <w:sz w:val="24"/>
          <w:szCs w:val="24"/>
          <w:lang w:val="az-Latn-AZ"/>
        </w:rPr>
        <w:t>zəruridir.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
        </w:numPr>
        <w:tabs>
          <w:tab w:val="left" w:pos="681"/>
        </w:tabs>
        <w:kinsoku w:val="0"/>
        <w:overflowPunct w:val="0"/>
        <w:spacing w:line="250" w:lineRule="auto"/>
        <w:ind w:left="680" w:right="1186"/>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 üzrə ilkin məlumatlar müxtəlif mənbələrdən </w:t>
      </w:r>
      <w:r w:rsidRPr="009C2EF2">
        <w:rPr>
          <w:rFonts w:ascii="Times New Roman" w:hAnsi="Times New Roman"/>
          <w:i/>
          <w:color w:val="231F20"/>
          <w:spacing w:val="-1"/>
          <w:sz w:val="24"/>
          <w:szCs w:val="24"/>
          <w:lang w:val="az-Latn-AZ"/>
        </w:rPr>
        <w:t>əldə oluna bilər.</w:t>
      </w:r>
      <w:r w:rsidRPr="009C2EF2">
        <w:rPr>
          <w:rFonts w:ascii="Times New Roman" w:hAnsi="Times New Roman"/>
          <w:color w:val="231F20"/>
          <w:spacing w:val="-1"/>
          <w:sz w:val="24"/>
          <w:szCs w:val="24"/>
          <w:lang w:val="az-Latn-AZ"/>
        </w:rPr>
        <w:t xml:space="preserve"> Geniş şəkildə istifadə olunan qiymələndirmə məlumatı mənbələrinə broker kotirovkaları, razılıq əsasında qiymətqoyma xidmətləri, üçüncü tərəflərə məxsus müqayisə edilə bilən alətlər və bazar məlumatları üzrə qiymətqoyma xidmətləri daxildir. Proqnozlaşdırılan məlumatlar, əsasən, gəlirlilik səviyyəsi və dəyişkənlik kimi belə cari qiymətlərdən əldə olunur.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4"/>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Broker kotirovkalarının etibarlılığını qiymətləndirərkən </w:t>
      </w:r>
    </w:p>
    <w:p w:rsidR="00C11094" w:rsidRPr="009C2EF2" w:rsidRDefault="003C64E0">
      <w:pPr>
        <w:pStyle w:val="a3"/>
        <w:kinsoku w:val="0"/>
        <w:overflowPunct w:val="0"/>
        <w:spacing w:before="9"/>
        <w:ind w:left="680"/>
        <w:rPr>
          <w:rFonts w:ascii="Times New Roman" w:hAnsi="Times New Roman"/>
          <w:color w:val="231F20"/>
          <w:sz w:val="24"/>
          <w:szCs w:val="24"/>
          <w:lang w:val="az-Latn-AZ"/>
        </w:rPr>
      </w:pPr>
      <w:r w:rsidRPr="009C2EF2">
        <w:rPr>
          <w:rFonts w:ascii="Times New Roman" w:hAnsi="Times New Roman"/>
          <w:i/>
          <w:color w:val="231F20"/>
          <w:sz w:val="24"/>
          <w:szCs w:val="24"/>
          <w:lang w:val="az-Latn-AZ"/>
        </w:rPr>
        <w:t xml:space="preserve">iştirakçılar </w:t>
      </w:r>
      <w:r w:rsidRPr="009C2EF2">
        <w:rPr>
          <w:rFonts w:ascii="Times New Roman" w:hAnsi="Times New Roman"/>
          <w:color w:val="231F20"/>
          <w:sz w:val="24"/>
          <w:szCs w:val="24"/>
          <w:lang w:val="az-Latn-AZ"/>
        </w:rPr>
        <w:t xml:space="preserve">tərəfindən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 xml:space="preserve">qiymətləndirilmə üsulunun sübutu kimi </w:t>
      </w:r>
    </w:p>
    <w:p w:rsidR="00D02DD9" w:rsidRPr="009C2EF2" w:rsidRDefault="003C64E0">
      <w:pPr>
        <w:pStyle w:val="a3"/>
        <w:kinsoku w:val="0"/>
        <w:overflowPunct w:val="0"/>
        <w:spacing w:before="9"/>
        <w:ind w:left="680"/>
        <w:rPr>
          <w:rFonts w:ascii="Times New Roman" w:hAnsi="Times New Roman"/>
          <w:color w:val="000000"/>
          <w:sz w:val="24"/>
          <w:szCs w:val="24"/>
          <w:lang w:val="az-Latn-AZ"/>
        </w:rPr>
      </w:pPr>
      <w:r w:rsidRPr="009C2EF2">
        <w:rPr>
          <w:rFonts w:ascii="Times New Roman" w:hAnsi="Times New Roman"/>
          <w:i/>
          <w:color w:val="231F20"/>
          <w:sz w:val="24"/>
          <w:szCs w:val="24"/>
          <w:lang w:val="az-Latn-AZ"/>
        </w:rPr>
        <w:t>qiymətləndirici aşağıdakıları nəzərə almalıdır</w:t>
      </w:r>
      <w:r w:rsidRPr="009C2EF2">
        <w:rPr>
          <w:rFonts w:ascii="Times New Roman" w:hAnsi="Times New Roman"/>
          <w:color w:val="231F20"/>
          <w:sz w:val="24"/>
          <w:szCs w:val="24"/>
          <w:lang w:val="az-Latn-AZ"/>
        </w:rPr>
        <w:t>:</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8"/>
        <w:ind w:left="0"/>
        <w:rPr>
          <w:rFonts w:ascii="Times New Roman" w:hAnsi="Times New Roman"/>
          <w:sz w:val="24"/>
          <w:szCs w:val="24"/>
          <w:lang w:val="az-Latn-AZ"/>
        </w:rPr>
      </w:pPr>
    </w:p>
    <w:p w:rsidR="00D02DD9" w:rsidRPr="009C2EF2" w:rsidRDefault="003C64E0">
      <w:pPr>
        <w:pStyle w:val="a3"/>
        <w:kinsoku w:val="0"/>
        <w:overflowPunct w:val="0"/>
        <w:ind w:left="2878" w:right="3725"/>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103</w:t>
      </w:r>
    </w:p>
    <w:p w:rsidR="00D02DD9" w:rsidRPr="009C2EF2" w:rsidRDefault="00D02DD9">
      <w:pPr>
        <w:pStyle w:val="a3"/>
        <w:kinsoku w:val="0"/>
        <w:overflowPunct w:val="0"/>
        <w:ind w:left="2878" w:right="3725"/>
        <w:jc w:val="center"/>
        <w:rPr>
          <w:rFonts w:ascii="Times New Roman" w:hAnsi="Times New Roman"/>
          <w:color w:val="000000"/>
          <w:sz w:val="24"/>
          <w:szCs w:val="24"/>
          <w:lang w:val="az-Latn-AZ"/>
        </w:rPr>
        <w:sectPr w:rsidR="00D02DD9" w:rsidRPr="009C2EF2">
          <w:footerReference w:type="default" r:id="rId10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2176" behindDoc="1" locked="0" layoutInCell="0" allowOverlap="1">
                <wp:simplePos x="0" y="0"/>
                <wp:positionH relativeFrom="page">
                  <wp:posOffset>0</wp:posOffset>
                </wp:positionH>
                <wp:positionV relativeFrom="page">
                  <wp:posOffset>0</wp:posOffset>
                </wp:positionV>
                <wp:extent cx="432435" cy="8424545"/>
                <wp:effectExtent l="0" t="0" r="0" b="0"/>
                <wp:wrapNone/>
                <wp:docPr id="4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12271F" id="Freeform 225" o:spid="_x0000_s1026" style="position:absolute;margin-left:0;margin-top:0;width:34.05pt;height:663.3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xcAnG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EC4F78">
      <w:pPr>
        <w:pStyle w:val="a3"/>
        <w:kinsoku w:val="0"/>
        <w:overflowPunct w:val="0"/>
        <w:spacing w:before="80"/>
        <w:ind w:left="3125" w:right="273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pPr>
        <w:pStyle w:val="a3"/>
        <w:numPr>
          <w:ilvl w:val="2"/>
          <w:numId w:val="4"/>
        </w:numPr>
        <w:tabs>
          <w:tab w:val="left" w:pos="1815"/>
        </w:tabs>
        <w:kinsoku w:val="0"/>
        <w:overflowPunct w:val="0"/>
        <w:spacing w:before="77" w:line="250" w:lineRule="auto"/>
        <w:ind w:left="1814" w:right="1362"/>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Brokerlər, adətən, bazar yaradır və ən aktual alətlər ilə bağlı qiymət təklifi irəli sürürlər. Onların fəaliyyəti likvidliyi aşağı olan alətləri </w:t>
      </w:r>
      <w:r w:rsidRPr="009C2EF2">
        <w:rPr>
          <w:rFonts w:ascii="Times New Roman" w:hAnsi="Times New Roman"/>
          <w:i/>
          <w:color w:val="231F20"/>
          <w:spacing w:val="-1"/>
          <w:sz w:val="24"/>
          <w:szCs w:val="24"/>
          <w:lang w:val="az-Latn-AZ"/>
        </w:rPr>
        <w:t>əhatə etmir.</w:t>
      </w:r>
      <w:r w:rsidRPr="009C2EF2">
        <w:rPr>
          <w:rFonts w:ascii="Times New Roman" w:hAnsi="Times New Roman"/>
          <w:color w:val="231F20"/>
          <w:sz w:val="24"/>
          <w:szCs w:val="24"/>
          <w:lang w:val="az-Latn-AZ"/>
        </w:rPr>
        <w:t xml:space="preserve"> Çünki likvidlik, adətən, vaxt keçdikcə aşağı düşdüyünə görə köhnə alətlərlər üçün kotirovkalar müəyyən etmək </w:t>
      </w:r>
      <w:r w:rsidRPr="009C2EF2">
        <w:rPr>
          <w:rFonts w:ascii="Times New Roman" w:hAnsi="Times New Roman"/>
          <w:i/>
          <w:color w:val="231F20"/>
          <w:spacing w:val="-2"/>
          <w:sz w:val="24"/>
          <w:szCs w:val="24"/>
          <w:lang w:val="az-Latn-AZ"/>
        </w:rPr>
        <w:t>çətinləşə bilər.</w:t>
      </w:r>
    </w:p>
    <w:p w:rsidR="00D02DD9" w:rsidRPr="009C2EF2" w:rsidRDefault="003C64E0" w:rsidP="00537609">
      <w:pPr>
        <w:pStyle w:val="a3"/>
        <w:numPr>
          <w:ilvl w:val="2"/>
          <w:numId w:val="4"/>
        </w:numPr>
        <w:tabs>
          <w:tab w:val="left" w:pos="1815"/>
        </w:tabs>
        <w:kinsoku w:val="0"/>
        <w:overflowPunct w:val="0"/>
        <w:spacing w:line="250" w:lineRule="auto"/>
        <w:ind w:left="1814" w:right="1235"/>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Brokerin fəaliyyəti kommersiya sahəsi ilə bağlıdır və qiymətləndirmənin dəstəklənməsini əhatə etmir. Ona görə də, brokerlər yerinə yetirilə bilən kotirovkalar ilə müqayisədə indikativ kotirovkaların hazırlanmasına o qədər də maraq göstərmirlər. </w:t>
      </w:r>
      <w:r w:rsidRPr="009C2EF2">
        <w:rPr>
          <w:rFonts w:ascii="Times New Roman" w:hAnsi="Times New Roman"/>
          <w:i/>
          <w:color w:val="231F20"/>
          <w:sz w:val="24"/>
          <w:szCs w:val="24"/>
          <w:lang w:val="az-Latn-AZ"/>
        </w:rPr>
        <w:t xml:space="preserve">Qiymətləndiricidən </w:t>
      </w:r>
      <w:r w:rsidRPr="009C2EF2">
        <w:rPr>
          <w:rFonts w:ascii="Times New Roman" w:hAnsi="Times New Roman"/>
          <w:color w:val="231F20"/>
          <w:sz w:val="24"/>
          <w:szCs w:val="24"/>
          <w:lang w:val="az-Latn-AZ"/>
        </w:rPr>
        <w:t xml:space="preserve">broker kotirovkasının qəti və yerinə yetirilə bilən yoxsa qeyri-qəti və nəzəri kotirovka olmasını müəyyənləşdirmək tələb olunur. Kotirovka qeyri-qəti olduqda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həmin kotirovkanın qiymətləndirməyə uyğunlaşdırılmalı yoxsa qiymətləndirmədən kənarlaşdırılmalı olmasını müəyyən etmək üçün </w:t>
      </w:r>
      <w:r w:rsidRPr="009C2EF2">
        <w:rPr>
          <w:rFonts w:ascii="Times New Roman" w:hAnsi="Times New Roman"/>
          <w:i/>
          <w:color w:val="231F20"/>
          <w:spacing w:val="1"/>
          <w:sz w:val="24"/>
          <w:szCs w:val="24"/>
          <w:lang w:val="az-Latn-AZ"/>
        </w:rPr>
        <w:t>əlavə məlumat toplamalıdır.</w:t>
      </w:r>
    </w:p>
    <w:p w:rsidR="00D02DD9" w:rsidRPr="009C2EF2" w:rsidRDefault="003C64E0">
      <w:pPr>
        <w:pStyle w:val="a3"/>
        <w:numPr>
          <w:ilvl w:val="2"/>
          <w:numId w:val="4"/>
        </w:numPr>
        <w:tabs>
          <w:tab w:val="left" w:pos="1815"/>
        </w:tabs>
        <w:kinsoku w:val="0"/>
        <w:overflowPunct w:val="0"/>
        <w:spacing w:line="250" w:lineRule="auto"/>
        <w:ind w:left="1814" w:right="2042"/>
        <w:rPr>
          <w:rFonts w:ascii="Times New Roman" w:hAnsi="Times New Roman"/>
          <w:color w:val="000000"/>
          <w:sz w:val="24"/>
          <w:szCs w:val="24"/>
          <w:lang w:val="az-Latn-AZ"/>
        </w:rPr>
      </w:pPr>
      <w:r w:rsidRPr="009C2EF2">
        <w:rPr>
          <w:rFonts w:ascii="Times New Roman" w:hAnsi="Times New Roman"/>
          <w:color w:val="231F20"/>
          <w:sz w:val="24"/>
          <w:szCs w:val="24"/>
          <w:lang w:val="az-Latn-AZ"/>
        </w:rPr>
        <w:t>Broker alətin kontragenti olduqda daxili maraqların toqquşması baş verə bilər.</w:t>
      </w:r>
    </w:p>
    <w:p w:rsidR="00D02DD9" w:rsidRPr="009C2EF2" w:rsidRDefault="0075026C">
      <w:pPr>
        <w:pStyle w:val="a3"/>
        <w:numPr>
          <w:ilvl w:val="2"/>
          <w:numId w:val="4"/>
        </w:numPr>
        <w:tabs>
          <w:tab w:val="left" w:pos="1815"/>
        </w:tabs>
        <w:kinsoku w:val="0"/>
        <w:overflowPunct w:val="0"/>
        <w:ind w:left="1814"/>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43392" behindDoc="0" locked="0" layoutInCell="0" allowOverlap="1">
                <wp:simplePos x="0" y="0"/>
                <wp:positionH relativeFrom="page">
                  <wp:posOffset>151130</wp:posOffset>
                </wp:positionH>
                <wp:positionV relativeFrom="paragraph">
                  <wp:posOffset>82550</wp:posOffset>
                </wp:positionV>
                <wp:extent cx="152400" cy="3013075"/>
                <wp:effectExtent l="0" t="0" r="0" b="0"/>
                <wp:wrapNone/>
                <wp:docPr id="4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42" type="#_x0000_t202" style="position:absolute;left:0;text-align:left;margin-left:11.9pt;margin-top:6.5pt;width:12pt;height:237.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z w:val="24"/>
          <w:szCs w:val="24"/>
          <w:lang w:val="az-Latn-AZ"/>
        </w:rPr>
        <w:t>Brokerlər ticarəti stimullaşdırmağa maraq göstərirlər.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rsidP="00C11094">
      <w:pPr>
        <w:pStyle w:val="a3"/>
        <w:numPr>
          <w:ilvl w:val="1"/>
          <w:numId w:val="4"/>
        </w:numPr>
        <w:tabs>
          <w:tab w:val="left" w:pos="1531"/>
        </w:tabs>
        <w:kinsoku w:val="0"/>
        <w:overflowPunct w:val="0"/>
        <w:spacing w:line="250" w:lineRule="auto"/>
        <w:ind w:right="144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Razılıq əsasında qiymətqoyma xidmətləri alət haqqında iştirak edən bir neçə abunəçidən əldə olunan qiymət və ya qiymətləndirmə məlumatlarını toplamala fəaliyyəti göstərir. Bu xidmətlər bəzən hər hansı səhv seçimi kompensasiya etmək üçün uyğunlaşdırma aparılmaqla müxtəlif mənbələrdən əldə olunmuş kotirovkaları əks etdirirlər. Bu, ayrı-ayrı brokerlər ilə bağlı maraq toqquşması probleminin öhdəsindən gəlir. Lakin bir broker kotirovkası ilə bütün bazarlarda bütün alətlər üçün əlverişli məlumat tapmaq </w:t>
      </w:r>
      <w:r w:rsidRPr="009C2EF2">
        <w:rPr>
          <w:rFonts w:ascii="Times New Roman" w:hAnsi="Times New Roman"/>
          <w:i/>
          <w:color w:val="231F20"/>
          <w:spacing w:val="-1"/>
          <w:sz w:val="24"/>
          <w:szCs w:val="24"/>
          <w:lang w:val="az-Latn-AZ"/>
        </w:rPr>
        <w:t>mümkün olmaya bilər.</w:t>
      </w:r>
      <w:r w:rsidRPr="009C2EF2">
        <w:rPr>
          <w:rFonts w:ascii="Times New Roman" w:hAnsi="Times New Roman"/>
          <w:color w:val="231F20"/>
          <w:sz w:val="24"/>
          <w:szCs w:val="24"/>
          <w:lang w:val="az-Latn-AZ"/>
        </w:rPr>
        <w:t xml:space="preserve"> Bundan əlavə, razılaşma qiyməti heç də həmişə həqiqi bazar </w:t>
      </w:r>
      <w:r w:rsidRPr="009C2EF2">
        <w:rPr>
          <w:rFonts w:ascii="Times New Roman" w:hAnsi="Times New Roman"/>
          <w:color w:val="231F20"/>
          <w:spacing w:val="1"/>
          <w:sz w:val="24"/>
          <w:szCs w:val="24"/>
          <w:lang w:val="az-Latn-AZ"/>
        </w:rPr>
        <w:t>"razılığını"</w:t>
      </w:r>
      <w:r w:rsidRPr="009C2EF2">
        <w:rPr>
          <w:rFonts w:ascii="Times New Roman" w:hAnsi="Times New Roman"/>
          <w:i/>
          <w:color w:val="231F20"/>
          <w:spacing w:val="-1"/>
          <w:sz w:val="24"/>
          <w:szCs w:val="24"/>
          <w:lang w:val="az-Latn-AZ"/>
        </w:rPr>
        <w:t xml:space="preserve"> əks etdirməsə də</w:t>
      </w:r>
      <w:r w:rsidRPr="009C2EF2">
        <w:rPr>
          <w:rFonts w:ascii="Times New Roman" w:hAnsi="Times New Roman"/>
          <w:color w:val="231F20"/>
          <w:spacing w:val="1"/>
          <w:sz w:val="24"/>
          <w:szCs w:val="24"/>
          <w:lang w:val="az-Latn-AZ"/>
        </w:rPr>
        <w:t>, son bazar əməliyyatlarının və ya kotirovkanın statistik smetasından ibarətdir.</w:t>
      </w:r>
      <w:r w:rsidR="00EC4F78" w:rsidRPr="009C2EF2">
        <w:rPr>
          <w:rFonts w:ascii="Times New Roman" w:hAnsi="Times New Roman"/>
          <w:color w:val="231F20"/>
          <w:spacing w:val="1"/>
          <w:sz w:val="24"/>
          <w:szCs w:val="24"/>
          <w:lang w:val="az-Latn-AZ"/>
        </w:rPr>
        <w:t xml:space="preserve"> </w:t>
      </w:r>
      <w:r w:rsidRPr="009C2EF2">
        <w:rPr>
          <w:rFonts w:ascii="Times New Roman" w:hAnsi="Times New Roman"/>
          <w:color w:val="231F20"/>
          <w:sz w:val="24"/>
          <w:szCs w:val="24"/>
          <w:lang w:val="az-Latn-AZ"/>
        </w:rPr>
        <w:t xml:space="preserve">Ona görə 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qiymətləndirilən alət nəzərə alınmaqla razılaşma qiymətinin hansı yolla müəyyən edildiyini və hesabalamaların əsaslı olub olmamasını bilməlidir. Qeyri-likvid alətin qiymətləndirilməsinə uyğun olan informasiya və əsas məlumatlar müqayisə edilə bilən əməliyyatlar vasitəsilə əldə oluna bilər (bax: ətraflı şəkildə 110-cu bölmədə). </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Heading41"/>
        <w:numPr>
          <w:ilvl w:val="0"/>
          <w:numId w:val="3"/>
        </w:numPr>
        <w:tabs>
          <w:tab w:val="left" w:pos="1531"/>
        </w:tabs>
        <w:kinsoku w:val="0"/>
        <w:overflowPunct w:val="0"/>
        <w:ind w:left="1530"/>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Kredit riskinin tənzimlənməsi</w:t>
      </w:r>
    </w:p>
    <w:p w:rsidR="00D02DD9" w:rsidRPr="009C2EF2" w:rsidRDefault="00D02DD9">
      <w:pPr>
        <w:pStyle w:val="a3"/>
        <w:kinsoku w:val="0"/>
        <w:overflowPunct w:val="0"/>
        <w:spacing w:before="7"/>
        <w:ind w:left="0"/>
        <w:rPr>
          <w:rFonts w:ascii="Times New Roman" w:hAnsi="Times New Roman"/>
          <w:b/>
          <w:sz w:val="24"/>
          <w:szCs w:val="24"/>
          <w:lang w:val="az-Latn-AZ"/>
        </w:rPr>
      </w:pPr>
    </w:p>
    <w:p w:rsidR="00D02DD9" w:rsidRPr="009C2EF2" w:rsidRDefault="003C64E0">
      <w:pPr>
        <w:pStyle w:val="a3"/>
        <w:numPr>
          <w:ilvl w:val="1"/>
          <w:numId w:val="3"/>
        </w:numPr>
        <w:tabs>
          <w:tab w:val="left" w:pos="1531"/>
        </w:tabs>
        <w:kinsoku w:val="0"/>
        <w:overflowPunct w:val="0"/>
        <w:spacing w:line="250" w:lineRule="auto"/>
        <w:ind w:right="1287"/>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riskinin mahiyyətinin dərk edilməsi xüsusilə emitent üçün maliyyə alətinin qiymətləndirilməsinin başlıca aspekti hesab olunur. Kredit riskinin yaranması və qiymətləndirilməsi zamanı nəzərə alınmalı olan ümumi amillərdən bəzilərinə aşağıdakılar daxildir: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rsidP="00C11094">
      <w:pPr>
        <w:pStyle w:val="a3"/>
        <w:numPr>
          <w:ilvl w:val="2"/>
          <w:numId w:val="3"/>
        </w:numPr>
        <w:tabs>
          <w:tab w:val="left" w:pos="1815"/>
        </w:tabs>
        <w:kinsoku w:val="0"/>
        <w:overflowPunct w:val="0"/>
        <w:spacing w:before="9" w:line="250" w:lineRule="auto"/>
        <w:ind w:left="1814" w:right="1461" w:hanging="374"/>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kredit riski və kontragentin kredit riski: Emitentin və ya hər hansı kredit təminatçısının</w:t>
      </w:r>
      <w:r w:rsidRPr="009C2EF2">
        <w:rPr>
          <w:rFonts w:ascii="Times New Roman" w:hAnsi="Times New Roman"/>
          <w:color w:val="231F20"/>
          <w:sz w:val="24"/>
          <w:szCs w:val="24"/>
          <w:lang w:val="az-Latn-AZ"/>
        </w:rPr>
        <w:t xml:space="preserve"> maliyyə potensialının qiymətləndirilməsi üçün müvafiq müəssisənin və ya müəssisələrin yalnız əvvəlki və proqnozlaşdırılan maliyyə göstəriciləri deyil, həmçinin, müəssisənin fəaliyyət göstərdiyi maliyyə sektoru ilə bağlı göstəricilər və gələcək planlar nəzərə alınmalıdır. Emintent tərəfindən verilən kreditlə yanaşı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kontragentlərin qiymətləndirilən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və ya passiv ilə bağlı kredit risklərini nəzərə almalıdır. Klirinq təşkilatı ilə bağlı hesab məsələlərində artıq </w:t>
      </w:r>
      <w:r w:rsidRPr="009C2EF2">
        <w:rPr>
          <w:rFonts w:ascii="Times New Roman" w:hAnsi="Times New Roman"/>
          <w:i/>
          <w:color w:val="231F20"/>
          <w:sz w:val="24"/>
          <w:szCs w:val="24"/>
          <w:lang w:val="az-Latn-AZ"/>
        </w:rPr>
        <w:t>bir çox yurisdiksiyalar</w:t>
      </w:r>
      <w:r w:rsidRPr="009C2EF2">
        <w:rPr>
          <w:rFonts w:ascii="Times New Roman" w:hAnsi="Times New Roman"/>
          <w:color w:val="231F20"/>
          <w:sz w:val="24"/>
          <w:szCs w:val="24"/>
          <w:lang w:val="az-Latn-AZ"/>
        </w:rPr>
        <w:t xml:space="preserve"> riskin azalması üçün müəyyən törəmələr üzrə əməliyyatların bir mərkəzi kontragent vasitəsilə həyata keçirilməsini tələb edir, lakin bu zaman kontragentin riskinin nəzərə alınması zəruridir.</w:t>
      </w:r>
    </w:p>
    <w:p w:rsidR="00D02DD9" w:rsidRPr="009C2EF2" w:rsidRDefault="00D02DD9" w:rsidP="00C11094">
      <w:pPr>
        <w:pStyle w:val="a3"/>
        <w:kinsoku w:val="0"/>
        <w:overflowPunct w:val="0"/>
        <w:spacing w:before="9"/>
        <w:ind w:left="0"/>
        <w:jc w:val="both"/>
        <w:rPr>
          <w:rFonts w:ascii="Times New Roman" w:hAnsi="Times New Roman"/>
          <w:sz w:val="24"/>
          <w:szCs w:val="24"/>
          <w:lang w:val="az-Latn-AZ"/>
        </w:rPr>
      </w:pPr>
    </w:p>
    <w:p w:rsidR="00D02DD9" w:rsidRPr="009C2EF2" w:rsidRDefault="003C64E0" w:rsidP="00C11094">
      <w:pPr>
        <w:pStyle w:val="a3"/>
        <w:numPr>
          <w:ilvl w:val="2"/>
          <w:numId w:val="3"/>
        </w:numPr>
        <w:tabs>
          <w:tab w:val="left" w:pos="1815"/>
        </w:tabs>
        <w:kinsoku w:val="0"/>
        <w:overflowPunct w:val="0"/>
        <w:ind w:left="1814"/>
        <w:jc w:val="both"/>
        <w:rPr>
          <w:rFonts w:ascii="Times New Roman" w:hAnsi="Times New Roman"/>
          <w:color w:val="000000"/>
          <w:sz w:val="24"/>
          <w:szCs w:val="24"/>
          <w:lang w:val="az-Latn-AZ"/>
        </w:rPr>
      </w:pPr>
      <w:r w:rsidRPr="009C2EF2">
        <w:rPr>
          <w:rFonts w:ascii="Times New Roman" w:hAnsi="Times New Roman"/>
          <w:i/>
          <w:color w:val="231F20"/>
          <w:sz w:val="24"/>
          <w:szCs w:val="24"/>
          <w:lang w:val="az-Latn-AZ"/>
        </w:rPr>
        <w:t>Qiymətləndirici</w:t>
      </w:r>
      <w:r w:rsidRPr="009C2EF2">
        <w:rPr>
          <w:rFonts w:ascii="Times New Roman" w:hAnsi="Times New Roman"/>
          <w:color w:val="231F20"/>
          <w:sz w:val="24"/>
          <w:szCs w:val="24"/>
          <w:lang w:val="az-Latn-AZ"/>
        </w:rPr>
        <w:t xml:space="preserve">, həmçinin, alətin kredit riski ilə emitentin və/və ya </w:t>
      </w:r>
    </w:p>
    <w:p w:rsidR="00D02DD9" w:rsidRPr="009C2EF2" w:rsidRDefault="003C64E0" w:rsidP="00C11094">
      <w:pPr>
        <w:pStyle w:val="a3"/>
        <w:kinsoku w:val="0"/>
        <w:overflowPunct w:val="0"/>
        <w:spacing w:before="9" w:line="250" w:lineRule="auto"/>
        <w:ind w:left="1814" w:right="117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kontragentin kredit riski arasındakı fərqi müəyyən etməlidir. Ümumilikdə, emitentin və/və ya kontragentin kredit riski alət ilə bağlı xüsusi girovu əks etdirmir.</w:t>
      </w:r>
    </w:p>
    <w:p w:rsidR="00D02DD9" w:rsidRPr="009C2EF2" w:rsidRDefault="00D02DD9">
      <w:pPr>
        <w:pStyle w:val="a3"/>
        <w:kinsoku w:val="0"/>
        <w:overflowPunct w:val="0"/>
        <w:spacing w:before="1"/>
        <w:ind w:left="0"/>
        <w:rPr>
          <w:rFonts w:ascii="Times New Roman" w:hAnsi="Times New Roman"/>
          <w:sz w:val="24"/>
          <w:szCs w:val="24"/>
          <w:lang w:val="az-Latn-AZ"/>
        </w:rPr>
      </w:pP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104</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110"/>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3200" behindDoc="1" locked="0" layoutInCell="0" allowOverlap="1">
                <wp:simplePos x="0" y="0"/>
                <wp:positionH relativeFrom="page">
                  <wp:posOffset>5183505</wp:posOffset>
                </wp:positionH>
                <wp:positionV relativeFrom="page">
                  <wp:posOffset>0</wp:posOffset>
                </wp:positionV>
                <wp:extent cx="431800" cy="8423910"/>
                <wp:effectExtent l="0" t="0" r="0" b="0"/>
                <wp:wrapNone/>
                <wp:docPr id="42"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B8A9E7" id="Freeform 227" o:spid="_x0000_s1026" style="position:absolute;margin-left:408.15pt;margin-top:0;width:34pt;height:663.3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9/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tTW/f3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D01B60">
      <w:pPr>
        <w:pStyle w:val="a3"/>
        <w:kinsoku w:val="0"/>
        <w:overflowPunct w:val="0"/>
        <w:spacing w:before="79"/>
        <w:ind w:left="2878" w:right="297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C11094">
      <w:pPr>
        <w:pStyle w:val="a3"/>
        <w:numPr>
          <w:ilvl w:val="2"/>
          <w:numId w:val="3"/>
        </w:numPr>
        <w:kinsoku w:val="0"/>
        <w:overflowPunct w:val="0"/>
        <w:spacing w:before="77" w:line="250" w:lineRule="auto"/>
        <w:ind w:left="630" w:right="1134" w:hanging="45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Tabelilik: Öhdəliyin yerinə yetirilməməsi riskinin qiymətləndirilməsi zamanı alətlə bağlı prioritetin müəyyənləşdirilməsi zəruri xarakter daşıyır. Digər alətlər emitentin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z w:val="24"/>
          <w:szCs w:val="24"/>
          <w:lang w:val="az-Latn-AZ"/>
        </w:rPr>
        <w:t xml:space="preserve">və ya aləti dəstəkləyən pul axınları üzərində üstünlüyə </w:t>
      </w:r>
      <w:r w:rsidRPr="009C2EF2">
        <w:rPr>
          <w:rFonts w:ascii="Times New Roman" w:hAnsi="Times New Roman"/>
          <w:i/>
          <w:color w:val="231F20"/>
          <w:spacing w:val="-1"/>
          <w:sz w:val="24"/>
          <w:szCs w:val="24"/>
          <w:lang w:val="az-Latn-AZ"/>
        </w:rPr>
        <w:t>malik ola bilər.</w:t>
      </w:r>
    </w:p>
    <w:p w:rsidR="00D02DD9" w:rsidRPr="009C2EF2" w:rsidRDefault="00D02DD9" w:rsidP="00C11094">
      <w:pPr>
        <w:pStyle w:val="a3"/>
        <w:kinsoku w:val="0"/>
        <w:overflowPunct w:val="0"/>
        <w:spacing w:before="9"/>
        <w:ind w:left="630" w:hanging="450"/>
        <w:jc w:val="both"/>
        <w:rPr>
          <w:rFonts w:ascii="Times New Roman" w:hAnsi="Times New Roman"/>
          <w:sz w:val="24"/>
          <w:szCs w:val="24"/>
          <w:lang w:val="az-Latn-AZ"/>
        </w:rPr>
      </w:pPr>
    </w:p>
    <w:p w:rsidR="00D02DD9" w:rsidRPr="009C2EF2" w:rsidRDefault="003C64E0" w:rsidP="00C11094">
      <w:pPr>
        <w:pStyle w:val="a3"/>
        <w:numPr>
          <w:ilvl w:val="2"/>
          <w:numId w:val="3"/>
        </w:numPr>
        <w:kinsoku w:val="0"/>
        <w:overflowPunct w:val="0"/>
        <w:spacing w:line="250" w:lineRule="auto"/>
        <w:ind w:left="630" w:right="1327" w:hanging="45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Leverec: Alət üzrə gəlirin əldə olunduğu </w:t>
      </w:r>
      <w:r w:rsidRPr="009C2EF2">
        <w:rPr>
          <w:rFonts w:ascii="Times New Roman" w:hAnsi="Times New Roman"/>
          <w:i/>
          <w:color w:val="231F20"/>
          <w:sz w:val="24"/>
          <w:szCs w:val="24"/>
          <w:lang w:val="az-Latn-AZ"/>
        </w:rPr>
        <w:t xml:space="preserve">aktivləri </w:t>
      </w:r>
      <w:r w:rsidRPr="009C2EF2">
        <w:rPr>
          <w:rFonts w:ascii="Times New Roman" w:hAnsi="Times New Roman"/>
          <w:color w:val="231F20"/>
          <w:spacing w:val="-1"/>
          <w:sz w:val="24"/>
          <w:szCs w:val="24"/>
          <w:lang w:val="az-Latn-AZ"/>
        </w:rPr>
        <w:t>maliyyələşdirmək üçün istifadə olunan borcun məbləği emitentin gəlirlərinin dəyişkənliyinə və kredit riskinə təsir edə bilər.</w:t>
      </w:r>
    </w:p>
    <w:p w:rsidR="00D02DD9" w:rsidRPr="009C2EF2" w:rsidRDefault="00D02DD9" w:rsidP="00C11094">
      <w:pPr>
        <w:pStyle w:val="a3"/>
        <w:kinsoku w:val="0"/>
        <w:overflowPunct w:val="0"/>
        <w:spacing w:before="9"/>
        <w:ind w:left="630" w:hanging="450"/>
        <w:jc w:val="both"/>
        <w:rPr>
          <w:rFonts w:ascii="Times New Roman" w:hAnsi="Times New Roman"/>
          <w:sz w:val="24"/>
          <w:szCs w:val="24"/>
          <w:lang w:val="az-Latn-AZ"/>
        </w:rPr>
      </w:pPr>
    </w:p>
    <w:p w:rsidR="00D02DD9" w:rsidRPr="009C2EF2" w:rsidRDefault="003C64E0" w:rsidP="00C11094">
      <w:pPr>
        <w:pStyle w:val="a3"/>
        <w:numPr>
          <w:ilvl w:val="2"/>
          <w:numId w:val="3"/>
        </w:numPr>
        <w:kinsoku w:val="0"/>
        <w:overflowPunct w:val="0"/>
        <w:spacing w:line="250" w:lineRule="auto"/>
        <w:ind w:left="630" w:right="1630" w:hanging="45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Nettinq haqqında sazişlər Kontragentlər törəmə alətlərə malik olduqda kredit riski əməliyyatların xalis dəyəri ilə bağlı öhdəlikləri məhdudlaşdıran nettinq və ya kompensasiya sazişi ilə </w:t>
      </w:r>
      <w:r w:rsidRPr="009C2EF2">
        <w:rPr>
          <w:rFonts w:ascii="Times New Roman" w:hAnsi="Times New Roman"/>
          <w:i/>
          <w:color w:val="231F20"/>
          <w:spacing w:val="-1"/>
          <w:sz w:val="24"/>
          <w:szCs w:val="24"/>
          <w:lang w:val="az-Latn-AZ"/>
        </w:rPr>
        <w:t>azaldıla bilər</w:t>
      </w:r>
      <w:r w:rsidRPr="009C2EF2">
        <w:rPr>
          <w:rFonts w:ascii="Times New Roman" w:hAnsi="Times New Roman"/>
          <w:color w:val="231F20"/>
          <w:spacing w:val="1"/>
          <w:sz w:val="24"/>
          <w:szCs w:val="24"/>
          <w:lang w:val="az-Latn-AZ"/>
        </w:rPr>
        <w:t>, yəni tərəflərdən biri müflisləşdikdə digər tərəf müflisləşmiş tərəfə borclu olduğu məbləği digər alətlərə uyğun olaraq ödənilməli olan məbləğlərlə kompensasiya edə bilər.</w:t>
      </w:r>
    </w:p>
    <w:p w:rsidR="00D02DD9" w:rsidRPr="009C2EF2" w:rsidRDefault="00D02DD9" w:rsidP="00C11094">
      <w:pPr>
        <w:pStyle w:val="a3"/>
        <w:kinsoku w:val="0"/>
        <w:overflowPunct w:val="0"/>
        <w:spacing w:before="9"/>
        <w:ind w:left="270"/>
        <w:jc w:val="both"/>
        <w:rPr>
          <w:rFonts w:ascii="Times New Roman" w:hAnsi="Times New Roman"/>
          <w:sz w:val="24"/>
          <w:szCs w:val="24"/>
          <w:lang w:val="az-Latn-AZ"/>
        </w:rPr>
      </w:pPr>
    </w:p>
    <w:p w:rsidR="00D02DD9" w:rsidRPr="009C2EF2" w:rsidRDefault="0075026C" w:rsidP="00C11094">
      <w:pPr>
        <w:pStyle w:val="a3"/>
        <w:numPr>
          <w:ilvl w:val="2"/>
          <w:numId w:val="3"/>
        </w:numPr>
        <w:tabs>
          <w:tab w:val="left" w:pos="965"/>
        </w:tabs>
        <w:kinsoku w:val="0"/>
        <w:overflowPunct w:val="0"/>
        <w:spacing w:line="250" w:lineRule="auto"/>
        <w:ind w:left="270" w:right="1134" w:firstLine="0"/>
        <w:jc w:val="both"/>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44416" behindDoc="0" locked="0" layoutInCell="0" allowOverlap="1">
                <wp:simplePos x="0" y="0"/>
                <wp:positionH relativeFrom="page">
                  <wp:posOffset>5276215</wp:posOffset>
                </wp:positionH>
                <wp:positionV relativeFrom="paragraph">
                  <wp:posOffset>219710</wp:posOffset>
                </wp:positionV>
                <wp:extent cx="152400" cy="3013075"/>
                <wp:effectExtent l="0" t="0" r="0" b="0"/>
                <wp:wrapNone/>
                <wp:docPr id="4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43" type="#_x0000_t202" style="position:absolute;left:0;text-align:left;margin-left:415.45pt;margin-top:17.3pt;width:12pt;height:237.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K0sQIAALU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z w:val="24"/>
          <w:szCs w:val="24"/>
          <w:lang w:val="az-Latn-AZ"/>
        </w:rPr>
        <w:t xml:space="preserve">Öhdəliyin icra edilməməsinə görə zəmanət Bir çox alətlər hüquq sahibinə ödənişin edilməməsi riskini azaltmaq üçün bəzi zəmanət formalarını tətbiq edirlər. Zəmanət üçüncü tərəfin verdiyi təminatdan, sığorta müqaviləsindən, öhdəliyin yerinə yetirilməməsinə görə kredit svopundan və ya ödənişi həyata keçirmək üçün tələb olunandan daha çox </w:t>
      </w:r>
      <w:r w:rsidR="003C64E0" w:rsidRPr="009C2EF2">
        <w:rPr>
          <w:rFonts w:ascii="Times New Roman" w:hAnsi="Times New Roman"/>
          <w:i/>
          <w:color w:val="231F20"/>
          <w:sz w:val="24"/>
          <w:szCs w:val="24"/>
          <w:lang w:val="az-Latn-AZ"/>
        </w:rPr>
        <w:t xml:space="preserve">aktivdən </w:t>
      </w:r>
      <w:r w:rsidR="003C64E0" w:rsidRPr="009C2EF2">
        <w:rPr>
          <w:rFonts w:ascii="Times New Roman" w:hAnsi="Times New Roman"/>
          <w:color w:val="231F20"/>
          <w:sz w:val="24"/>
          <w:szCs w:val="24"/>
          <w:lang w:val="az-Latn-AZ"/>
        </w:rPr>
        <w:t xml:space="preserve">ibarət ola bilər.  Kredit riski, həmçinin,  subordinasiya edilmiş alətlər əsas </w:t>
      </w:r>
      <w:r w:rsidR="003C64E0" w:rsidRPr="009C2EF2">
        <w:rPr>
          <w:rFonts w:ascii="Times New Roman" w:hAnsi="Times New Roman"/>
          <w:i/>
          <w:color w:val="231F20"/>
          <w:sz w:val="24"/>
          <w:szCs w:val="24"/>
          <w:lang w:val="az-Latn-AZ"/>
        </w:rPr>
        <w:t xml:space="preserve">aktivlər </w:t>
      </w:r>
      <w:r w:rsidR="003C64E0" w:rsidRPr="009C2EF2">
        <w:rPr>
          <w:rFonts w:ascii="Times New Roman" w:hAnsi="Times New Roman"/>
          <w:color w:val="231F20"/>
          <w:sz w:val="24"/>
          <w:szCs w:val="24"/>
          <w:lang w:val="az-Latn-AZ"/>
        </w:rPr>
        <w:t>üzrə ilk zərərə məruz qaldıqda və ona görə də daha üstün alətlərin riskə məruz qalmaq ehtimalını  azaltdıqda azalır. Zəmanət təminatdan, sığorta müqaviləsindən və ya öhdəliyin yerinə yetirilməməsinə görə kredit svopundan ibarət olduqda</w:t>
      </w:r>
    </w:p>
    <w:p w:rsidR="00D02DD9" w:rsidRPr="009C2EF2" w:rsidRDefault="003C64E0" w:rsidP="00C11094">
      <w:pPr>
        <w:pStyle w:val="a3"/>
        <w:kinsoku w:val="0"/>
        <w:overflowPunct w:val="0"/>
        <w:spacing w:line="250" w:lineRule="auto"/>
        <w:ind w:left="270" w:right="100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zəmanəti verən tərəfi müəyyənləşdirmək və həmin tərəfin kredit ödəmə qabiliyyətini qiymətləndirmək mühüm əhəmiyyət kəsb edir. Üçüncü tərəfin kredit ödəmə qabiliyyətini nəzərə alarkən yalnız cari vəziyyət deyil, həmçinin, müəssisənin imzalandığı digər təminatların və ya sığorta müqavilələrinin mümkün təsiri diqqətdə saxlanılmalıdır. </w:t>
      </w:r>
    </w:p>
    <w:p w:rsidR="00D02DD9" w:rsidRPr="009C2EF2" w:rsidRDefault="003C64E0" w:rsidP="00C11094">
      <w:pPr>
        <w:pStyle w:val="a3"/>
        <w:kinsoku w:val="0"/>
        <w:overflowPunct w:val="0"/>
        <w:spacing w:before="9" w:line="250" w:lineRule="auto"/>
        <w:ind w:left="270" w:right="1134"/>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Zəmanət təminatçısı, həmçinin, digər əlaqədar borc öhdəlikləri ilə bağlı təminat verdikdə onun icra olunmaması riski daha yüksək olacaq.</w:t>
      </w:r>
    </w:p>
    <w:p w:rsidR="00D02DD9" w:rsidRPr="009C2EF2" w:rsidRDefault="00D02DD9" w:rsidP="00C11094">
      <w:pPr>
        <w:pStyle w:val="a3"/>
        <w:kinsoku w:val="0"/>
        <w:overflowPunct w:val="0"/>
        <w:spacing w:before="9"/>
        <w:ind w:left="0"/>
        <w:jc w:val="both"/>
        <w:rPr>
          <w:rFonts w:ascii="Times New Roman" w:hAnsi="Times New Roman"/>
          <w:sz w:val="24"/>
          <w:szCs w:val="24"/>
          <w:lang w:val="az-Latn-AZ"/>
        </w:rPr>
      </w:pPr>
    </w:p>
    <w:p w:rsidR="00D02DD9" w:rsidRPr="009C2EF2" w:rsidRDefault="003C64E0" w:rsidP="00C11094">
      <w:pPr>
        <w:pStyle w:val="a3"/>
        <w:numPr>
          <w:ilvl w:val="1"/>
          <w:numId w:val="3"/>
        </w:numPr>
        <w:tabs>
          <w:tab w:val="left" w:pos="681"/>
        </w:tabs>
        <w:kinsoku w:val="0"/>
        <w:overflowPunct w:val="0"/>
        <w:spacing w:line="250" w:lineRule="auto"/>
        <w:ind w:left="680" w:right="1007"/>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Məhdud məlumatın verildiyi tərəflərə gəlincə, əgər maliyyə alətində ikinci dərəcəli qiymətli kağızlar ilə bağlı əməliyyatlar icra olunarsa müvafiq riskin tənzimlənməsi ilə bağlı sübutu təmin etmək üçün kifayət qədər bazar məlumatı </w:t>
      </w:r>
      <w:r w:rsidRPr="009C2EF2">
        <w:rPr>
          <w:rFonts w:ascii="Times New Roman" w:hAnsi="Times New Roman"/>
          <w:i/>
          <w:color w:val="231F20"/>
          <w:spacing w:val="-1"/>
          <w:sz w:val="24"/>
          <w:szCs w:val="24"/>
          <w:lang w:val="az-Latn-AZ"/>
        </w:rPr>
        <w:t>ola bilər</w:t>
      </w:r>
      <w:r w:rsidRPr="009C2EF2">
        <w:rPr>
          <w:rFonts w:ascii="Times New Roman" w:hAnsi="Times New Roman"/>
          <w:color w:val="231F20"/>
          <w:spacing w:val="-1"/>
          <w:sz w:val="24"/>
          <w:szCs w:val="24"/>
          <w:lang w:val="az-Latn-AZ"/>
        </w:rPr>
        <w:t xml:space="preserve">. Əks halda kredit göstəricilərinin, bənzər risk xüsusiyyətlərinə malik müəssisələr üzrə məlumatların </w:t>
      </w:r>
      <w:r w:rsidRPr="009C2EF2">
        <w:rPr>
          <w:rFonts w:ascii="Times New Roman" w:hAnsi="Times New Roman"/>
          <w:color w:val="231F20"/>
          <w:spacing w:val="1"/>
          <w:sz w:val="24"/>
          <w:szCs w:val="24"/>
          <w:lang w:val="az-Latn-AZ"/>
        </w:rPr>
        <w:t xml:space="preserve">nəzərə alınması və ya öz maliyyə alətindən isifadə edən tərəf üzrə kredit reytinqini qiymətləndirilməsi zəruri hesab edilə bilər. Kredit məlumatları üzrə hansı mənbədən ən uyğun məlumatın əldə olunmasını qiymətləndirərkən kredit riski ilə bağlı müxtəlif öhdəliklərin fərqlənən həssaslıqları, məsələn, girov və/ və ya maddilik ilə bağlı fərqləri </w:t>
      </w:r>
      <w:r w:rsidRPr="009C2EF2">
        <w:rPr>
          <w:rFonts w:ascii="Times New Roman" w:hAnsi="Times New Roman"/>
          <w:i/>
          <w:color w:val="231F20"/>
          <w:spacing w:val="1"/>
          <w:sz w:val="24"/>
          <w:szCs w:val="24"/>
          <w:lang w:val="az-Latn-AZ"/>
        </w:rPr>
        <w:t>nəzərə alınmalıdır</w:t>
      </w:r>
      <w:r w:rsidRPr="009C2EF2">
        <w:rPr>
          <w:rFonts w:ascii="Times New Roman" w:hAnsi="Times New Roman"/>
          <w:color w:val="231F20"/>
          <w:spacing w:val="1"/>
          <w:sz w:val="24"/>
          <w:szCs w:val="24"/>
          <w:lang w:val="az-Latn-AZ"/>
        </w:rPr>
        <w:t xml:space="preserve">.   Tətbiq olunan risk uyğunlaşması və ya kredit spredi </w:t>
      </w:r>
      <w:r w:rsidRPr="009C2EF2">
        <w:rPr>
          <w:rFonts w:ascii="Times New Roman" w:hAnsi="Times New Roman"/>
          <w:i/>
          <w:color w:val="231F20"/>
          <w:spacing w:val="1"/>
          <w:sz w:val="24"/>
          <w:szCs w:val="24"/>
          <w:lang w:val="az-Latn-AZ"/>
        </w:rPr>
        <w:t xml:space="preserve">iştirakçının </w:t>
      </w:r>
      <w:r w:rsidRPr="009C2EF2">
        <w:rPr>
          <w:rFonts w:ascii="Times New Roman" w:hAnsi="Times New Roman"/>
          <w:color w:val="231F20"/>
          <w:spacing w:val="1"/>
          <w:sz w:val="24"/>
          <w:szCs w:val="24"/>
          <w:lang w:val="az-Latn-AZ"/>
        </w:rPr>
        <w:t>qiymətləndirilən xüsusi bir alətlə bağlı tələb etdiyi məbləğə əsaslanır</w:t>
      </w:r>
      <w:r w:rsidRPr="009C2EF2">
        <w:rPr>
          <w:rFonts w:ascii="Times New Roman" w:hAnsi="Times New Roman"/>
          <w:color w:val="231F20"/>
          <w:sz w:val="24"/>
          <w:szCs w:val="24"/>
          <w:lang w:val="az-Latn-AZ"/>
        </w:rPr>
        <w:t>.</w:t>
      </w:r>
    </w:p>
    <w:p w:rsidR="00D02DD9" w:rsidRPr="009C2EF2" w:rsidRDefault="00D02DD9" w:rsidP="00C11094">
      <w:pPr>
        <w:pStyle w:val="a3"/>
        <w:kinsoku w:val="0"/>
        <w:overflowPunct w:val="0"/>
        <w:spacing w:before="7"/>
        <w:ind w:left="0"/>
        <w:jc w:val="both"/>
        <w:rPr>
          <w:rFonts w:ascii="Times New Roman" w:hAnsi="Times New Roman"/>
          <w:sz w:val="24"/>
          <w:szCs w:val="24"/>
          <w:lang w:val="az-Latn-AZ"/>
        </w:rPr>
      </w:pPr>
    </w:p>
    <w:p w:rsidR="00D02DD9" w:rsidRPr="009C2EF2" w:rsidRDefault="003C64E0" w:rsidP="00C11094">
      <w:pPr>
        <w:pStyle w:val="a3"/>
        <w:numPr>
          <w:ilvl w:val="1"/>
          <w:numId w:val="3"/>
        </w:numPr>
        <w:tabs>
          <w:tab w:val="left" w:pos="681"/>
        </w:tabs>
        <w:kinsoku w:val="0"/>
        <w:overflowPunct w:val="0"/>
        <w:spacing w:line="250" w:lineRule="auto"/>
        <w:ind w:left="680" w:right="105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Emitentin kredit riski öhdəliyin ötürülməsi üzrə dəyərə uyğun olduğuna görə həmin öhdəliklə bağlı xüsusi kredit riski onun dəyəri baxımından mühüm əhəmiyyət kəsb edir.  Maliyyə hesabatı ilə bağlı tələblərə əməl etmək üçün kontragentlərin imkanları ilə bağlı tətbiq olunan faktiki məhdudiyyətlərdən asılı olmayaraq öhdəliyin ötürülməsi nəzərdə tutulduqda öhdəliklərin qiymətləndirilməsi üzrə xüsusi kredit riskini əks etdirilməsi üçün fərqli potensial mənbələr mövcuddur. Buraya müvafiq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z w:val="24"/>
          <w:szCs w:val="24"/>
          <w:lang w:val="az-Latn-AZ"/>
        </w:rPr>
        <w:t>dəyərinə istinad etməklə müəssəsisənin istiqrazları və ya buraxılan digər borclar üzrə gəlir əyrisi, öhdəliyin yerinə yetirilməməsinə görə kredit svopu daxildir.   Lakin bir çox hallarda öhdəlik üzrə emitent onu ötürmək səlahiyyətinə malik olmayacaq və yalnız öhdəliyi kontragent ilə ödəyə biləcək.</w:t>
      </w: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105</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111"/>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4"/>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4224" behindDoc="1" locked="0" layoutInCell="0" allowOverlap="1">
                <wp:simplePos x="0" y="0"/>
                <wp:positionH relativeFrom="page">
                  <wp:posOffset>0</wp:posOffset>
                </wp:positionH>
                <wp:positionV relativeFrom="page">
                  <wp:posOffset>0</wp:posOffset>
                </wp:positionV>
                <wp:extent cx="432435" cy="8424545"/>
                <wp:effectExtent l="0" t="0" r="0" b="0"/>
                <wp:wrapNone/>
                <wp:docPr id="4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47A215" id="Freeform 229" o:spid="_x0000_s1026" style="position:absolute;margin-left:0;margin-top:0;width:34.05pt;height:663.3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rsidP="00D01B60">
      <w:pPr>
        <w:pStyle w:val="a3"/>
        <w:kinsoku w:val="0"/>
        <w:overflowPunct w:val="0"/>
        <w:spacing w:before="80"/>
        <w:ind w:left="3125" w:right="228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3C64E0" w:rsidP="00537609">
      <w:pPr>
        <w:pStyle w:val="a3"/>
        <w:numPr>
          <w:ilvl w:val="1"/>
          <w:numId w:val="3"/>
        </w:numPr>
        <w:tabs>
          <w:tab w:val="left" w:pos="1531"/>
        </w:tabs>
        <w:kinsoku w:val="0"/>
        <w:overflowPunct w:val="0"/>
        <w:spacing w:before="77" w:line="250" w:lineRule="auto"/>
        <w:ind w:right="840"/>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Girov: Öhdəlik yerinə yetirilmədiyi zaman alətin sahibinin dövriyyə etmək hüququ daşıdığı </w:t>
      </w:r>
      <w:r w:rsidRPr="009C2EF2">
        <w:rPr>
          <w:rFonts w:ascii="Times New Roman" w:hAnsi="Times New Roman"/>
          <w:i/>
          <w:color w:val="231F20"/>
          <w:sz w:val="24"/>
          <w:szCs w:val="24"/>
          <w:lang w:val="az-Latn-AZ"/>
        </w:rPr>
        <w:t xml:space="preserve">aktivlər </w:t>
      </w:r>
      <w:r w:rsidRPr="009C2EF2">
        <w:rPr>
          <w:rFonts w:ascii="Times New Roman" w:hAnsi="Times New Roman"/>
          <w:color w:val="231F20"/>
          <w:sz w:val="24"/>
          <w:szCs w:val="24"/>
          <w:lang w:val="az-Latn-AZ"/>
        </w:rPr>
        <w:t xml:space="preserve">nəzərə alınmalıdır. Xüsusilə də,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dövriyyə hüququnun emitentin bütün </w:t>
      </w:r>
      <w:r w:rsidRPr="009C2EF2">
        <w:rPr>
          <w:rFonts w:ascii="Times New Roman" w:hAnsi="Times New Roman"/>
          <w:i/>
          <w:color w:val="231F20"/>
          <w:sz w:val="24"/>
          <w:szCs w:val="24"/>
          <w:lang w:val="az-Latn-AZ"/>
        </w:rPr>
        <w:t xml:space="preserve">aktivlərini </w:t>
      </w:r>
      <w:r w:rsidRPr="009C2EF2">
        <w:rPr>
          <w:rFonts w:ascii="Times New Roman" w:hAnsi="Times New Roman"/>
          <w:color w:val="231F20"/>
          <w:sz w:val="24"/>
          <w:szCs w:val="24"/>
          <w:lang w:val="az-Latn-AZ"/>
        </w:rPr>
        <w:t xml:space="preserve">yoxsa müəyyən </w:t>
      </w:r>
      <w:r w:rsidRPr="009C2EF2">
        <w:rPr>
          <w:rFonts w:ascii="Times New Roman" w:hAnsi="Times New Roman"/>
          <w:i/>
          <w:color w:val="231F20"/>
          <w:spacing w:val="-2"/>
          <w:sz w:val="24"/>
          <w:szCs w:val="24"/>
          <w:lang w:val="az-Latn-AZ"/>
        </w:rPr>
        <w:t>aktivi (aktivləri)</w:t>
      </w:r>
      <w:r w:rsidRPr="009C2EF2">
        <w:rPr>
          <w:rFonts w:ascii="Times New Roman" w:hAnsi="Times New Roman"/>
          <w:color w:val="231F20"/>
          <w:sz w:val="24"/>
          <w:szCs w:val="24"/>
          <w:lang w:val="az-Latn-AZ"/>
        </w:rPr>
        <w:t xml:space="preserve"> əhatə etməsini aydınlaşdırmalıdır. Öhdəlik yerinə yetirilməyən zaman müəssisənin dövriyyə hüququ üzrə idarə etdiyi </w:t>
      </w:r>
      <w:r w:rsidRPr="009C2EF2">
        <w:rPr>
          <w:rFonts w:ascii="Times New Roman" w:hAnsi="Times New Roman"/>
          <w:i/>
          <w:color w:val="231F20"/>
          <w:spacing w:val="-1"/>
          <w:sz w:val="24"/>
          <w:szCs w:val="24"/>
          <w:lang w:val="az-Latn-AZ"/>
        </w:rPr>
        <w:t>aktivin (aktivlərin)</w:t>
      </w:r>
      <w:r w:rsidRPr="009C2EF2">
        <w:rPr>
          <w:rFonts w:ascii="Times New Roman" w:hAnsi="Times New Roman"/>
          <w:color w:val="231F20"/>
          <w:sz w:val="24"/>
          <w:szCs w:val="24"/>
          <w:lang w:val="az-Latn-AZ"/>
        </w:rPr>
        <w:t xml:space="preserve"> dəyəri və likvidliyi nə qədər yüksək olarsa, bərpa səviyyəsinin artması səbəbilə alətin ümumi riski o qədər aşağı olacaq. Eyni göstəricinin iki dəfə daxil edilməsinin qarşısını almaq üçün </w:t>
      </w:r>
      <w:r w:rsidRPr="009C2EF2">
        <w:rPr>
          <w:rFonts w:ascii="Times New Roman" w:hAnsi="Times New Roman"/>
          <w:i/>
          <w:color w:val="231F20"/>
          <w:sz w:val="24"/>
          <w:szCs w:val="24"/>
          <w:lang w:val="az-Latn-AZ"/>
        </w:rPr>
        <w:t>qiymətləndirici</w:t>
      </w:r>
      <w:r w:rsidRPr="009C2EF2">
        <w:rPr>
          <w:rFonts w:ascii="Times New Roman" w:hAnsi="Times New Roman"/>
          <w:color w:val="231F20"/>
          <w:sz w:val="24"/>
          <w:szCs w:val="24"/>
          <w:lang w:val="az-Latn-AZ"/>
        </w:rPr>
        <w:t>, həmçinin, balans hesabatının digər bir hissəsində girovun artıq nəzərə alınıb alınmadığına diqqət yetirməlidir.</w:t>
      </w:r>
    </w:p>
    <w:p w:rsidR="00D02DD9" w:rsidRPr="009C2EF2" w:rsidRDefault="003C64E0" w:rsidP="00537609">
      <w:pPr>
        <w:pStyle w:val="a3"/>
        <w:numPr>
          <w:ilvl w:val="1"/>
          <w:numId w:val="3"/>
        </w:numPr>
        <w:tabs>
          <w:tab w:val="left" w:pos="1531"/>
        </w:tabs>
        <w:kinsoku w:val="0"/>
        <w:overflowPunct w:val="0"/>
        <w:spacing w:line="250" w:lineRule="auto"/>
        <w:ind w:right="840"/>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Alət ilə bağlı xüsusi kredit riskini tənzimləyərkən, həmçinin, qiymətləndirilən öhdəliklər üzrə mövcud olan girovun xüsusiyyətlərini </w:t>
      </w:r>
      <w:r w:rsidRPr="009C2EF2">
        <w:rPr>
          <w:rFonts w:ascii="Times New Roman" w:hAnsi="Times New Roman"/>
          <w:color w:val="231F20"/>
          <w:sz w:val="24"/>
          <w:szCs w:val="24"/>
          <w:lang w:val="az-Latn-AZ"/>
        </w:rPr>
        <w:t>nəzərə alınmalıdır. Emitentdən qanuni şəkildə ayrılmış girov kredit riskini azaldır. Öhdəliklər tez-tez girov verilmə prosesinə məruz qalarsa, kontragent öhdəliklərin yerinə yetirilməməsi ilə bağlı riskdən müdafiə olunduğu üçün xüsusi kredit riskinin tənzimlənməsinə ehtiyac qalmayacaq.</w:t>
      </w:r>
    </w:p>
    <w:p w:rsidR="00D02DD9" w:rsidRPr="009C2EF2" w:rsidRDefault="00D02DD9" w:rsidP="00D01B60">
      <w:pPr>
        <w:pStyle w:val="a3"/>
        <w:kinsoku w:val="0"/>
        <w:overflowPunct w:val="0"/>
        <w:spacing w:before="9"/>
        <w:ind w:left="0"/>
        <w:jc w:val="both"/>
        <w:rPr>
          <w:rFonts w:ascii="Times New Roman" w:hAnsi="Times New Roman"/>
          <w:sz w:val="24"/>
          <w:szCs w:val="24"/>
          <w:lang w:val="az-Latn-AZ"/>
        </w:rPr>
      </w:pPr>
    </w:p>
    <w:p w:rsidR="00D02DD9" w:rsidRPr="009C2EF2" w:rsidRDefault="0075026C" w:rsidP="00D01B60">
      <w:pPr>
        <w:pStyle w:val="Heading41"/>
        <w:numPr>
          <w:ilvl w:val="0"/>
          <w:numId w:val="2"/>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b w:val="0"/>
          <w:noProof/>
          <w:sz w:val="24"/>
          <w:szCs w:val="24"/>
          <w:lang w:val="ru-RU" w:eastAsia="ru-RU"/>
        </w:rPr>
        <mc:AlternateContent>
          <mc:Choice Requires="wps">
            <w:drawing>
              <wp:anchor distT="0" distB="0" distL="114300" distR="114300" simplePos="0" relativeHeight="251645440" behindDoc="0" locked="0" layoutInCell="0" allowOverlap="1">
                <wp:simplePos x="0" y="0"/>
                <wp:positionH relativeFrom="page">
                  <wp:posOffset>151130</wp:posOffset>
                </wp:positionH>
                <wp:positionV relativeFrom="paragraph">
                  <wp:posOffset>53340</wp:posOffset>
                </wp:positionV>
                <wp:extent cx="152400" cy="3013075"/>
                <wp:effectExtent l="0" t="0" r="0" b="0"/>
                <wp:wrapNone/>
                <wp:docPr id="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44" type="#_x0000_t202" style="position:absolute;left:0;text-align:left;margin-left:11.9pt;margin-top:4.2pt;width:12pt;height:237.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" o:allowincell="f" filled="f" stroked="f">
                <v:textbox style="layout-flow:vertical;mso-layout-flow-alt:bottom-to-top"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003C64E0" w:rsidRPr="009C2EF2">
        <w:rPr>
          <w:rFonts w:ascii="Times New Roman" w:hAnsi="Times New Roman"/>
          <w:color w:val="231F20"/>
          <w:spacing w:val="2"/>
          <w:sz w:val="24"/>
          <w:szCs w:val="24"/>
          <w:lang w:val="az-Latn-AZ"/>
        </w:rPr>
        <w:t>Likvidlik və bazar fəaliyyəti</w:t>
      </w:r>
    </w:p>
    <w:p w:rsidR="00D02DD9" w:rsidRPr="009C2EF2" w:rsidRDefault="003C64E0" w:rsidP="00D01B60">
      <w:pPr>
        <w:pStyle w:val="a3"/>
        <w:numPr>
          <w:ilvl w:val="1"/>
          <w:numId w:val="2"/>
        </w:numPr>
        <w:tabs>
          <w:tab w:val="left" w:pos="1531"/>
        </w:tabs>
        <w:kinsoku w:val="0"/>
        <w:overflowPunct w:val="0"/>
        <w:spacing w:before="122" w:line="250" w:lineRule="auto"/>
        <w:ind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Standartlaşdırılan və müntəzəm qaydada əməliyyatlara cəlb olunan maliyyə alətlərinin likvidliyi kontragentlərin razılaşmasına əsasən üçüncü tərəfə ötürülə bilməyən alətlərin likvidliyindən fərqlənir. Bu fərq onu göstərir ki, alətin likvidliyinin və ya bazar fəaliyyətinin cari səviyyəsinin nəzərə alınması ən düzgün qiymətləndirmə yanaşmasının müəyyənləşdirilməsi baxımından zəruri rol oynayır.</w:t>
      </w:r>
    </w:p>
    <w:p w:rsidR="00D02DD9" w:rsidRPr="009C2EF2" w:rsidRDefault="003C64E0" w:rsidP="00D01B60">
      <w:pPr>
        <w:pStyle w:val="a3"/>
        <w:numPr>
          <w:ilvl w:val="1"/>
          <w:numId w:val="2"/>
        </w:numPr>
        <w:tabs>
          <w:tab w:val="left" w:pos="1531"/>
        </w:tabs>
        <w:kinsoku w:val="0"/>
        <w:overflowPunct w:val="0"/>
        <w:spacing w:line="250" w:lineRule="auto"/>
        <w:ind w:right="1362"/>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Likvidlik və bazar fəaliyyəti bir-birindən fərqli anlayışlardır. </w:t>
      </w:r>
      <w:r w:rsidRPr="009C2EF2">
        <w:rPr>
          <w:rFonts w:ascii="Times New Roman" w:hAnsi="Times New Roman"/>
          <w:i/>
          <w:color w:val="231F20"/>
          <w:sz w:val="24"/>
          <w:szCs w:val="24"/>
          <w:lang w:val="az-Latn-AZ"/>
        </w:rPr>
        <w:t xml:space="preserve">Aktivin </w:t>
      </w:r>
      <w:r w:rsidRPr="009C2EF2">
        <w:rPr>
          <w:rFonts w:ascii="Times New Roman" w:hAnsi="Times New Roman"/>
          <w:color w:val="231F20"/>
          <w:sz w:val="24"/>
          <w:szCs w:val="24"/>
          <w:lang w:val="az-Latn-AZ"/>
        </w:rPr>
        <w:t>likvidliyi nağd vəsait və ya pul ekvivalenti qarşılığında onun nə dərəcədə asan və tez ötürülə bilməsini göstərir. Bazar fəaliyyəti müəyyən vaxtda kommersiya fəaliyyətinin həcminin göstəricisidir və bu göstərici mütləq göstərici ilə müqayisədə daha nisbi xarakter daşıyır. Bir alət üzrə aşağı bazar fəaliyyəti heç də həmişə alətin qeyri-likvid olmasını nəzərdə tutmur.</w:t>
      </w:r>
    </w:p>
    <w:p w:rsidR="00D02DD9" w:rsidRPr="009C2EF2" w:rsidRDefault="003C64E0" w:rsidP="00D01B60">
      <w:pPr>
        <w:pStyle w:val="a3"/>
        <w:numPr>
          <w:ilvl w:val="1"/>
          <w:numId w:val="2"/>
        </w:numPr>
        <w:tabs>
          <w:tab w:val="left" w:pos="1531"/>
        </w:tabs>
        <w:kinsoku w:val="0"/>
        <w:overflowPunct w:val="0"/>
        <w:spacing w:line="250" w:lineRule="auto"/>
        <w:ind w:right="1326"/>
        <w:jc w:val="both"/>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Buna baxmayaraq ayrı-ayrı konsepsiyalar, qeyri-likvidlik və ya bazar fəaliyyətinin aşağı səviyyələri müvafiq bazar məlumatlarının, yəni, qiymətləndirmə tarixində mövcud olan məlumatların və ya oxşar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pacing w:val="1"/>
          <w:sz w:val="24"/>
          <w:szCs w:val="24"/>
          <w:lang w:val="az-Latn-AZ"/>
        </w:rPr>
        <w:t xml:space="preserve">ilə bağlı məlumatların çatışmazlığı səbəbilə qiymətləndirmə zamanı eyni cür </w:t>
      </w:r>
      <w:r w:rsidRPr="009C2EF2">
        <w:rPr>
          <w:rFonts w:ascii="Times New Roman" w:hAnsi="Times New Roman"/>
          <w:color w:val="231F20"/>
          <w:spacing w:val="1"/>
          <w:sz w:val="24"/>
          <w:szCs w:val="24"/>
          <w:lang w:val="az-Latn-AZ"/>
        </w:rPr>
        <w:lastRenderedPageBreak/>
        <w:t xml:space="preserve">çətinliklər yaradır.  Likvidliyin və ya bazar fəaliyyətinin səviyyəsi nə qədər aşağı olarsa bazardakı dəyişiklikləri və ya </w:t>
      </w:r>
      <w:r w:rsidRPr="009C2EF2">
        <w:rPr>
          <w:rFonts w:ascii="Times New Roman" w:hAnsi="Times New Roman"/>
          <w:i/>
          <w:color w:val="231F20"/>
          <w:spacing w:val="-1"/>
          <w:sz w:val="24"/>
          <w:szCs w:val="24"/>
          <w:lang w:val="az-Latn-AZ"/>
        </w:rPr>
        <w:t xml:space="preserve">aktivin </w:t>
      </w:r>
      <w:r w:rsidRPr="009C2EF2">
        <w:rPr>
          <w:rFonts w:ascii="Times New Roman" w:hAnsi="Times New Roman"/>
          <w:color w:val="231F20"/>
          <w:spacing w:val="1"/>
          <w:sz w:val="24"/>
          <w:szCs w:val="24"/>
          <w:lang w:val="az-Latn-AZ"/>
        </w:rPr>
        <w:t xml:space="preserve">fərqli xüsusiyyətlərini əks etdirmək məqsədilə digər müqayisə edilə bilən əməliyyatlar üzrə göstəricilərə əsaslanan əsas məlumatları tənzimləmək və ya </w:t>
      </w:r>
      <w:r w:rsidRPr="009C2EF2">
        <w:rPr>
          <w:rFonts w:ascii="Times New Roman" w:hAnsi="Times New Roman"/>
          <w:i/>
          <w:color w:val="231F20"/>
          <w:sz w:val="24"/>
          <w:szCs w:val="24"/>
          <w:lang w:val="az-Latn-AZ"/>
        </w:rPr>
        <w:t xml:space="preserve">qiymətləndirmək </w:t>
      </w:r>
      <w:r w:rsidRPr="009C2EF2">
        <w:rPr>
          <w:rFonts w:ascii="Times New Roman" w:hAnsi="Times New Roman"/>
          <w:color w:val="231F20"/>
          <w:spacing w:val="1"/>
          <w:sz w:val="24"/>
          <w:szCs w:val="24"/>
          <w:lang w:val="az-Latn-AZ"/>
        </w:rPr>
        <w:t xml:space="preserve">üçün istifadə olunan qiymətləndirmə yanaşmalarından o qədər çox istifadə etmək lazımdır. </w:t>
      </w:r>
    </w:p>
    <w:p w:rsidR="00D02DD9" w:rsidRPr="009C2EF2" w:rsidRDefault="00D02DD9" w:rsidP="00D01B60">
      <w:pPr>
        <w:pStyle w:val="a3"/>
        <w:kinsoku w:val="0"/>
        <w:overflowPunct w:val="0"/>
        <w:spacing w:before="9"/>
        <w:ind w:left="0"/>
        <w:jc w:val="both"/>
        <w:rPr>
          <w:rFonts w:ascii="Times New Roman" w:hAnsi="Times New Roman"/>
          <w:sz w:val="24"/>
          <w:szCs w:val="24"/>
          <w:lang w:val="az-Latn-AZ"/>
        </w:rPr>
      </w:pPr>
    </w:p>
    <w:p w:rsidR="00D02DD9" w:rsidRPr="009C2EF2" w:rsidRDefault="003C64E0" w:rsidP="00D01B60">
      <w:pPr>
        <w:pStyle w:val="Heading41"/>
        <w:numPr>
          <w:ilvl w:val="0"/>
          <w:numId w:val="1"/>
        </w:numPr>
        <w:tabs>
          <w:tab w:val="left" w:pos="1531"/>
        </w:tabs>
        <w:kinsoku w:val="0"/>
        <w:overflowPunct w:val="0"/>
        <w:ind w:left="1530"/>
        <w:jc w:val="both"/>
        <w:outlineLvl w:val="9"/>
        <w:rPr>
          <w:rFonts w:ascii="Times New Roman" w:hAnsi="Times New Roman"/>
          <w:b w:val="0"/>
          <w:color w:val="000000"/>
          <w:sz w:val="24"/>
          <w:szCs w:val="24"/>
          <w:lang w:val="az-Latn-AZ"/>
        </w:rPr>
      </w:pPr>
      <w:r w:rsidRPr="009C2EF2">
        <w:rPr>
          <w:rFonts w:ascii="Times New Roman" w:hAnsi="Times New Roman"/>
          <w:color w:val="231F20"/>
          <w:spacing w:val="1"/>
          <w:sz w:val="24"/>
          <w:szCs w:val="24"/>
          <w:lang w:val="az-Latn-AZ"/>
        </w:rPr>
        <w:t>Qiymətləndirmə Nəzarət və Obyektivlik</w:t>
      </w:r>
    </w:p>
    <w:p w:rsidR="00D02DD9" w:rsidRPr="009C2EF2" w:rsidRDefault="003C64E0" w:rsidP="00D01B60">
      <w:pPr>
        <w:pStyle w:val="a3"/>
        <w:numPr>
          <w:ilvl w:val="1"/>
          <w:numId w:val="1"/>
        </w:numPr>
        <w:tabs>
          <w:tab w:val="left" w:pos="1531"/>
        </w:tabs>
        <w:kinsoku w:val="0"/>
        <w:overflowPunct w:val="0"/>
        <w:spacing w:before="122" w:line="250" w:lineRule="auto"/>
        <w:ind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Nəzarət mühiti qiymətləndirmə prosesində və ya qiymətləndirmə üzrə nəticənin əldə olunması zamanı məlumatlardan istifadə edən şəxslərin etimadı möhkəmləndirmək məqsədilə tətbiq olunan daxili idaəçilik və nəzarət prosedurlarından ibarətdir</w:t>
      </w:r>
      <w:r w:rsidRPr="009C2EF2">
        <w:rPr>
          <w:rFonts w:ascii="Times New Roman" w:hAnsi="Times New Roman"/>
          <w:i/>
          <w:color w:val="231F20"/>
          <w:spacing w:val="-1"/>
          <w:sz w:val="24"/>
          <w:szCs w:val="24"/>
          <w:lang w:val="az-Latn-AZ"/>
        </w:rPr>
        <w:t>.</w:t>
      </w:r>
      <w:r w:rsidRPr="009C2EF2">
        <w:rPr>
          <w:rFonts w:ascii="Times New Roman" w:hAnsi="Times New Roman"/>
          <w:color w:val="231F20"/>
          <w:sz w:val="24"/>
          <w:szCs w:val="24"/>
          <w:lang w:val="az-Latn-AZ"/>
        </w:rPr>
        <w:t xml:space="preserve">  Daxili qiymətləndirmə aparmaq üçün xarici qiymətləndiricinin xidmətindən istifadə edərkən xarici </w:t>
      </w:r>
      <w:r w:rsidRPr="009C2EF2">
        <w:rPr>
          <w:rFonts w:ascii="Times New Roman" w:hAnsi="Times New Roman"/>
          <w:i/>
          <w:color w:val="231F20"/>
          <w:sz w:val="24"/>
          <w:szCs w:val="24"/>
          <w:lang w:val="az-Latn-AZ"/>
        </w:rPr>
        <w:t xml:space="preserve">qiymətləndirici </w:t>
      </w:r>
      <w:r w:rsidRPr="009C2EF2">
        <w:rPr>
          <w:rFonts w:ascii="Times New Roman" w:hAnsi="Times New Roman"/>
          <w:color w:val="231F20"/>
          <w:sz w:val="24"/>
          <w:szCs w:val="24"/>
          <w:lang w:val="az-Latn-AZ"/>
        </w:rPr>
        <w:t xml:space="preserve">qiymətləndirmə üzrə nəzarət mühitinin uyğunluğunu və sərbəstliyini </w:t>
      </w:r>
      <w:r w:rsidRPr="009C2EF2">
        <w:rPr>
          <w:rFonts w:ascii="Times New Roman" w:hAnsi="Times New Roman"/>
          <w:i/>
          <w:color w:val="231F20"/>
          <w:sz w:val="24"/>
          <w:szCs w:val="24"/>
          <w:lang w:val="az-Latn-AZ"/>
        </w:rPr>
        <w:t>nəzərə almalıdır.</w:t>
      </w:r>
    </w:p>
    <w:p w:rsidR="00D02DD9" w:rsidRPr="009C2EF2" w:rsidRDefault="003C64E0" w:rsidP="00D01B60">
      <w:pPr>
        <w:pStyle w:val="a3"/>
        <w:numPr>
          <w:ilvl w:val="1"/>
          <w:numId w:val="1"/>
        </w:numPr>
        <w:tabs>
          <w:tab w:val="left" w:pos="1531"/>
        </w:tabs>
        <w:kinsoku w:val="0"/>
        <w:overflowPunct w:val="0"/>
        <w:spacing w:line="250" w:lineRule="auto"/>
        <w:ind w:right="128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Digər </w:t>
      </w:r>
      <w:r w:rsidRPr="009C2EF2">
        <w:rPr>
          <w:rFonts w:ascii="Times New Roman" w:hAnsi="Times New Roman"/>
          <w:i/>
          <w:color w:val="231F20"/>
          <w:sz w:val="24"/>
          <w:szCs w:val="24"/>
          <w:lang w:val="az-Latn-AZ"/>
        </w:rPr>
        <w:t xml:space="preserve">aktiv </w:t>
      </w:r>
      <w:r w:rsidRPr="009C2EF2">
        <w:rPr>
          <w:rFonts w:ascii="Times New Roman" w:hAnsi="Times New Roman"/>
          <w:color w:val="231F20"/>
          <w:sz w:val="24"/>
          <w:szCs w:val="24"/>
          <w:lang w:val="az-Latn-AZ"/>
        </w:rPr>
        <w:t xml:space="preserve">sinifləri ilə müqayisədə maliyyə alətləri onları yaradan və onların mübadiləsini təmin edən eyni bir müəssisə tərəfindən ümumilikdə qiymətləndirilir. Daxili qiymətləndirmələr zamanı </w:t>
      </w:r>
      <w:r w:rsidRPr="009C2EF2">
        <w:rPr>
          <w:rFonts w:ascii="Times New Roman" w:hAnsi="Times New Roman"/>
          <w:i/>
          <w:color w:val="231F20"/>
          <w:sz w:val="24"/>
          <w:szCs w:val="24"/>
          <w:lang w:val="az-Latn-AZ"/>
        </w:rPr>
        <w:t xml:space="preserve">qiymətləndiricinin </w:t>
      </w:r>
      <w:r w:rsidRPr="009C2EF2">
        <w:rPr>
          <w:rFonts w:ascii="Times New Roman" w:hAnsi="Times New Roman"/>
          <w:color w:val="231F20"/>
          <w:sz w:val="24"/>
          <w:szCs w:val="24"/>
          <w:lang w:val="az-Latn-AZ"/>
        </w:rPr>
        <w:t xml:space="preserve">müstəqilliyi müzakirə mövzusu olduğuna görə qiymətləndirmələrin obyektivliyi ilə bağlı risk yaranır. Daxili </w:t>
      </w:r>
      <w:r w:rsidRPr="009C2EF2">
        <w:rPr>
          <w:rFonts w:ascii="Times New Roman" w:hAnsi="Times New Roman"/>
          <w:i/>
          <w:color w:val="231F20"/>
          <w:sz w:val="24"/>
          <w:szCs w:val="24"/>
          <w:lang w:val="az-Latn-AZ"/>
        </w:rPr>
        <w:t xml:space="preserve">qiymətləndiricilərin </w:t>
      </w:r>
      <w:r w:rsidRPr="009C2EF2">
        <w:rPr>
          <w:rFonts w:ascii="Times New Roman" w:hAnsi="Times New Roman"/>
          <w:color w:val="231F20"/>
          <w:sz w:val="24"/>
          <w:szCs w:val="24"/>
          <w:lang w:val="az-Latn-AZ"/>
        </w:rPr>
        <w:t xml:space="preserve">həyata keçirdiyi qiymətləndirmə və </w:t>
      </w:r>
      <w:r w:rsidRPr="009C2EF2">
        <w:rPr>
          <w:rFonts w:ascii="Times New Roman" w:hAnsi="Times New Roman"/>
          <w:i/>
          <w:color w:val="231F20"/>
          <w:sz w:val="24"/>
          <w:szCs w:val="24"/>
          <w:lang w:val="az-Latn-AZ"/>
        </w:rPr>
        <w:t xml:space="preserve">qiymətləndirmənin </w:t>
      </w:r>
      <w:r w:rsidRPr="009C2EF2">
        <w:rPr>
          <w:rFonts w:ascii="Times New Roman" w:hAnsi="Times New Roman"/>
          <w:color w:val="231F20"/>
          <w:sz w:val="24"/>
          <w:szCs w:val="24"/>
          <w:lang w:val="az-Latn-AZ"/>
        </w:rPr>
        <w:t xml:space="preserve">və qiymətləndirmənin müstəqilliyi ilə bağlı riskləri minimuma endirmək məqsədilə mövcud olan müvafiq </w:t>
      </w:r>
    </w:p>
    <w:p w:rsidR="00D02DD9" w:rsidRPr="009C2EF2" w:rsidRDefault="00D02DD9" w:rsidP="00D01B60">
      <w:pPr>
        <w:pStyle w:val="a3"/>
        <w:kinsoku w:val="0"/>
        <w:overflowPunct w:val="0"/>
        <w:spacing w:before="11"/>
        <w:ind w:left="0"/>
        <w:jc w:val="both"/>
        <w:rPr>
          <w:rFonts w:ascii="Times New Roman" w:hAnsi="Times New Roman"/>
          <w:sz w:val="24"/>
          <w:szCs w:val="24"/>
          <w:lang w:val="az-Latn-AZ"/>
        </w:rPr>
      </w:pPr>
    </w:p>
    <w:p w:rsidR="00D02DD9" w:rsidRPr="009C2EF2" w:rsidRDefault="003C64E0">
      <w:pPr>
        <w:pStyle w:val="a3"/>
        <w:kinsoku w:val="0"/>
        <w:overflowPunct w:val="0"/>
        <w:spacing w:before="80"/>
        <w:ind w:left="4185" w:right="4353"/>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106</w:t>
      </w:r>
    </w:p>
    <w:p w:rsidR="00D02DD9" w:rsidRPr="009C2EF2" w:rsidRDefault="00D02DD9">
      <w:pPr>
        <w:pStyle w:val="a3"/>
        <w:kinsoku w:val="0"/>
        <w:overflowPunct w:val="0"/>
        <w:spacing w:before="80"/>
        <w:ind w:left="4185" w:right="4353"/>
        <w:jc w:val="center"/>
        <w:rPr>
          <w:rFonts w:ascii="Times New Roman" w:hAnsi="Times New Roman"/>
          <w:color w:val="000000"/>
          <w:sz w:val="24"/>
          <w:szCs w:val="24"/>
          <w:lang w:val="az-Latn-AZ"/>
        </w:rPr>
        <w:sectPr w:rsidR="00D02DD9" w:rsidRPr="009C2EF2">
          <w:footerReference w:type="default" r:id="rId112"/>
          <w:pgSz w:w="8850" w:h="13270"/>
          <w:pgMar w:top="0" w:right="0" w:bottom="0" w:left="0" w:header="0" w:footer="0" w:gutter="0"/>
          <w:cols w:space="720" w:equalWidth="0">
            <w:col w:w="885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5248" behindDoc="1" locked="0" layoutInCell="0" allowOverlap="1">
                <wp:simplePos x="0" y="0"/>
                <wp:positionH relativeFrom="page">
                  <wp:posOffset>5183505</wp:posOffset>
                </wp:positionH>
                <wp:positionV relativeFrom="page">
                  <wp:posOffset>0</wp:posOffset>
                </wp:positionV>
                <wp:extent cx="431800" cy="8423910"/>
                <wp:effectExtent l="0" t="0" r="0" b="0"/>
                <wp:wrapNone/>
                <wp:docPr id="38"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83AF27" id="Freeform 231" o:spid="_x0000_s1026" style="position:absolute;margin-left:408.15pt;margin-top:0;width:34pt;height:663.3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jfTYVX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D01B60">
      <w:pPr>
        <w:pStyle w:val="a3"/>
        <w:kinsoku w:val="0"/>
        <w:overflowPunct w:val="0"/>
        <w:spacing w:before="79"/>
        <w:ind w:left="2878" w:right="3060"/>
        <w:jc w:val="center"/>
        <w:rPr>
          <w:rFonts w:ascii="Times New Roman" w:hAnsi="Times New Roman"/>
          <w:color w:val="000000"/>
          <w:sz w:val="24"/>
          <w:szCs w:val="24"/>
          <w:lang w:val="az-Latn-AZ"/>
        </w:rPr>
      </w:pPr>
      <w:r w:rsidRPr="009C2EF2">
        <w:rPr>
          <w:rFonts w:ascii="Times New Roman" w:hAnsi="Times New Roman"/>
          <w:i/>
          <w:color w:val="231F20"/>
          <w:sz w:val="24"/>
          <w:szCs w:val="24"/>
          <w:lang w:val="az-Latn-AZ"/>
        </w:rPr>
        <w:t>Aktiv üzrə Standartlar</w:t>
      </w:r>
    </w:p>
    <w:p w:rsidR="00D02DD9" w:rsidRPr="009C2EF2" w:rsidRDefault="003C64E0" w:rsidP="00C11094">
      <w:pPr>
        <w:pStyle w:val="a3"/>
        <w:kinsoku w:val="0"/>
        <w:overflowPunct w:val="0"/>
        <w:spacing w:before="77" w:line="250" w:lineRule="auto"/>
        <w:ind w:left="680" w:right="1237"/>
        <w:jc w:val="both"/>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nəzarət mühitini təmin etmək üçün görülən tədbirlərin obyektivliyini təmin etmək məqsədilə prosedurların tətbiq edilməsi ilə əlaqədar tələb ilə bağlı BQS </w:t>
      </w:r>
      <w:r w:rsidRPr="009C2EF2">
        <w:rPr>
          <w:rFonts w:ascii="Times New Roman" w:hAnsi="Times New Roman"/>
          <w:i/>
          <w:color w:val="231F20"/>
          <w:spacing w:val="1"/>
          <w:sz w:val="24"/>
          <w:szCs w:val="24"/>
          <w:lang w:val="az-Latn-AZ"/>
        </w:rPr>
        <w:t xml:space="preserve">Çərçivə </w:t>
      </w:r>
      <w:r w:rsidRPr="009C2EF2">
        <w:rPr>
          <w:rFonts w:ascii="Times New Roman" w:hAnsi="Times New Roman"/>
          <w:color w:val="231F20"/>
          <w:sz w:val="24"/>
          <w:szCs w:val="24"/>
          <w:lang w:val="az-Latn-AZ"/>
        </w:rPr>
        <w:t>bölməsinin 40.1 və 40.2-ci bəndlərinə istinad etmək lazımdır. Maliyyə alətlərinin qiymətləndirilməsini həyata keçirən bir çox müəssisələr qanuni tənzimləyici maliyyə qurumları tərəfindən qeydiyyata alınaraq tənzimlənir. Tənzimləyici əksər maliyyə qurumları banklardan və ya maliyyə alətlərinin qiymətləndirilməsini həyata keçirən digər tənzimlənən müəssisələrdən qiymətin yoxlanılmasına dair müstəqil proseduralar hazırlamağı tələb edir. Bunlar maliyyə hesabatı üçün tələb olunan qiymətləndirmələri aparmaq və ya müxtəlif normativ- tənzimləyici sistemlərin tələb etdiyi xüsusi qiymətləndirmə nəzarətləri üzrə tənzimləyici qaydaları təhlil etmək üçün mövcud olan ticarət əməliyyatları şöbəsindən ayrı fəaliyyət göstərir. Bu məsələ hazırki standartın əhatə dairəsi xaricindədir.</w:t>
      </w:r>
    </w:p>
    <w:p w:rsidR="00D02DD9" w:rsidRPr="009C2EF2" w:rsidRDefault="003C64E0" w:rsidP="00C11094">
      <w:pPr>
        <w:pStyle w:val="a3"/>
        <w:kinsoku w:val="0"/>
        <w:overflowPunct w:val="0"/>
        <w:spacing w:line="250" w:lineRule="auto"/>
        <w:ind w:left="680" w:right="1241"/>
        <w:jc w:val="both"/>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Lakin ümumi prinsip kimi müəssisənin bir şöbəsi tərəfindən aparılan və maliyyə hesabatlarına daxil edilən və ya üçüncü tərəflər tərəfindən digər bir şəkildə istifadə olunan qiymətləndirmələr müəssisənin müvafiq şöbəsi tərəfindən </w:t>
      </w:r>
      <w:r w:rsidRPr="009C2EF2">
        <w:rPr>
          <w:rFonts w:ascii="Times New Roman" w:hAnsi="Times New Roman"/>
          <w:i/>
          <w:color w:val="231F20"/>
          <w:spacing w:val="1"/>
          <w:sz w:val="24"/>
          <w:szCs w:val="24"/>
          <w:lang w:val="az-Latn-AZ"/>
        </w:rPr>
        <w:t>qiymətləndirilməlidir</w:t>
      </w:r>
      <w:r w:rsidR="0075026C"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46464" behindDoc="0" locked="0" layoutInCell="0" allowOverlap="1">
                <wp:simplePos x="0" y="0"/>
                <wp:positionH relativeFrom="page">
                  <wp:posOffset>5276215</wp:posOffset>
                </wp:positionH>
                <wp:positionV relativeFrom="paragraph">
                  <wp:posOffset>406400</wp:posOffset>
                </wp:positionV>
                <wp:extent cx="152400" cy="3013075"/>
                <wp:effectExtent l="0" t="0" r="0" b="0"/>
                <wp:wrapNone/>
                <wp:docPr id="3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45" type="#_x0000_t202" style="position:absolute;left:0;text-align:left;margin-left:415.45pt;margin-top:32pt;width:12pt;height:237.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KYsQIAALU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" o:allowincell="f" filled="f" stroked="f">
                <v:textbox style="layout-flow:vertical" inset="0,0,0,0">
                  <w:txbxContent>
                    <w:p w:rsidR="0072444D" w:rsidRDefault="0072444D">
                      <w:pPr>
                        <w:pStyle w:val="a3"/>
                        <w:kinsoku w:val="0"/>
                        <w:overflowPunct w:val="0"/>
                        <w:spacing w:line="226" w:lineRule="exact"/>
                        <w:ind w:left="20"/>
                        <w:rPr>
                          <w:color w:val="000000"/>
                          <w:sz w:val="20"/>
                          <w:szCs w:val="24"/>
                        </w:rPr>
                      </w:pPr>
                      <w:r>
                        <w:rPr>
                          <w:b/>
                          <w:color w:val="FFFFFF"/>
                          <w:spacing w:val="1"/>
                          <w:w w:val="94"/>
                          <w:sz w:val="20"/>
                          <w:szCs w:val="24"/>
                          <w:lang w:val="az-Latn-AZ"/>
                        </w:rPr>
                        <w:t>Aktivlər üzrə standartlar – BQS 500 Maliyyə alətləri</w:t>
                      </w:r>
                    </w:p>
                  </w:txbxContent>
                </v:textbox>
                <w10:wrap anchorx="page"/>
              </v:shape>
            </w:pict>
          </mc:Fallback>
        </mc:AlternateContent>
      </w:r>
      <w:r w:rsidRPr="009C2EF2">
        <w:rPr>
          <w:rFonts w:ascii="Times New Roman" w:hAnsi="Times New Roman"/>
          <w:color w:val="231F20"/>
          <w:sz w:val="24"/>
          <w:szCs w:val="24"/>
          <w:lang w:val="az-Latn-AZ"/>
        </w:rPr>
        <w:t xml:space="preserve">. Bu qiymətləndirmələr üzrə səlahiyyət risk daşıyan funksiyalardan ayrı olmalı və onlardan </w:t>
      </w:r>
      <w:r w:rsidRPr="009C2EF2">
        <w:rPr>
          <w:rFonts w:ascii="Times New Roman" w:hAnsi="Times New Roman"/>
          <w:i/>
          <w:color w:val="231F20"/>
          <w:spacing w:val="1"/>
          <w:sz w:val="24"/>
          <w:szCs w:val="24"/>
          <w:lang w:val="az-Latn-AZ"/>
        </w:rPr>
        <w:t>asılı olmamalıdır.</w:t>
      </w:r>
      <w:r w:rsidRPr="009C2EF2">
        <w:rPr>
          <w:rFonts w:ascii="Times New Roman" w:hAnsi="Times New Roman"/>
          <w:color w:val="231F20"/>
          <w:sz w:val="24"/>
          <w:szCs w:val="24"/>
          <w:lang w:val="az-Latn-AZ"/>
        </w:rPr>
        <w:t xml:space="preserve"> Funksiyanın ayrılması üçün praktiki vasitələr ümumi məqsədə uyğun olaraq müəssisənin xüsusiyyətlərinə, qiymətləndirilən alətin növü və alətin xüsusi sinfinin dəyərinin maddiliyinə əsasən fərqlənəcək.   Müvafiq protokollar və nəzarətlər qiymətləndirmənin nəticəsindən istifadə edən üçüncü tərəfin nəzərə almalı olduğu obyektivlik ilə bağlı riskləri </w:t>
      </w:r>
      <w:r w:rsidRPr="009C2EF2">
        <w:rPr>
          <w:rFonts w:ascii="Times New Roman" w:hAnsi="Times New Roman"/>
          <w:i/>
          <w:color w:val="231F20"/>
          <w:spacing w:val="1"/>
          <w:sz w:val="24"/>
          <w:szCs w:val="24"/>
          <w:lang w:val="az-Latn-AZ"/>
        </w:rPr>
        <w:t>tam şəkildə əks etdirməlidir.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1"/>
          <w:numId w:val="1"/>
        </w:numPr>
        <w:tabs>
          <w:tab w:val="left" w:pos="681"/>
        </w:tabs>
        <w:kinsoku w:val="0"/>
        <w:overflowPunct w:val="0"/>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Qiymətləndirməyə nəzarət işlərini təhlil edərkən qiymətləndirmə prosesində </w:t>
      </w:r>
    </w:p>
    <w:p w:rsidR="00D02DD9" w:rsidRPr="009C2EF2" w:rsidRDefault="003C64E0">
      <w:pPr>
        <w:pStyle w:val="a3"/>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nəzərə alınmalı olan məsələlərə </w:t>
      </w:r>
      <w:r w:rsidRPr="009C2EF2">
        <w:rPr>
          <w:rFonts w:ascii="Times New Roman" w:hAnsi="Times New Roman"/>
          <w:i/>
          <w:color w:val="231F20"/>
          <w:spacing w:val="1"/>
          <w:sz w:val="24"/>
          <w:szCs w:val="24"/>
          <w:lang w:val="az-Latn-AZ"/>
        </w:rPr>
        <w:t>aşağıdakılar daxildir</w:t>
      </w:r>
      <w:r w:rsidRPr="009C2EF2">
        <w:rPr>
          <w:rFonts w:ascii="Times New Roman" w:hAnsi="Times New Roman"/>
          <w:color w:val="231F20"/>
          <w:spacing w:val="1"/>
          <w:sz w:val="24"/>
          <w:szCs w:val="24"/>
          <w:lang w:val="az-Latn-AZ"/>
        </w:rPr>
        <w:t>:</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xarici bəzi üzvlər daxil olmaqla qiymətləndirmə qaydaları və proseduraları və müəssisə üzrə qiymətləndirmə prosesinə nəzarət ilə bağlı məsuliyyət daşıyan idarə qrupunun yaradılması,</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mümkün olduqda normativ sənədlərə uyğunluq üzrə sistemlər,</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spacing w:line="250" w:lineRule="auto"/>
        <w:ind w:left="964" w:right="128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modellərinin təhlili və sınaqdan keçirilməsi üzrə ardıcıllıq və metodlara dair protokol,</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spacing w:line="250" w:lineRule="auto"/>
        <w:ind w:left="964" w:right="163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müxtəlif daxili və ya xarici ekspertlər tərəfindən müəyyən qiymətləndirmələrin yoxlanılmasına dair şərtlər,</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ind w:left="96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modelinin (modellərinin) dövri müstəqil yoxlanılması,</w:t>
      </w: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spacing w:line="250" w:lineRule="auto"/>
        <w:ind w:left="964" w:right="113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daha ətraflı tədqiqatları və ya təsdiqlənmə ilə bağlı ikinci dərəcəli tələbləri dəstəkləyən tədbirlərin müəyyənləşdirilməsi və</w:t>
      </w: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numPr>
          <w:ilvl w:val="2"/>
          <w:numId w:val="1"/>
        </w:numPr>
        <w:tabs>
          <w:tab w:val="left" w:pos="965"/>
        </w:tabs>
        <w:kinsoku w:val="0"/>
        <w:overflowPunct w:val="0"/>
        <w:spacing w:line="250" w:lineRule="auto"/>
        <w:ind w:left="964" w:right="152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bazarda birbaşa müşahidə edilməyən </w:t>
      </w:r>
      <w:r w:rsidRPr="009C2EF2">
        <w:rPr>
          <w:rFonts w:ascii="Times New Roman" w:hAnsi="Times New Roman"/>
          <w:i/>
          <w:color w:val="231F20"/>
          <w:sz w:val="24"/>
          <w:szCs w:val="24"/>
          <w:lang w:val="az-Latn-AZ"/>
        </w:rPr>
        <w:t xml:space="preserve">mühüm </w:t>
      </w:r>
      <w:r w:rsidRPr="009C2EF2">
        <w:rPr>
          <w:rFonts w:ascii="Times New Roman" w:hAnsi="Times New Roman"/>
          <w:color w:val="231F20"/>
          <w:spacing w:val="1"/>
          <w:sz w:val="24"/>
          <w:szCs w:val="24"/>
          <w:lang w:val="az-Latn-AZ"/>
        </w:rPr>
        <w:t>məlumatların müəyyənləşdirilməsi ilə bağlı proseduraların yaradılması məsələn, qiymətqoyma və ya audit komitələrinin təşkili.</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3C64E0">
      <w:pPr>
        <w:pStyle w:val="a3"/>
        <w:kinsoku w:val="0"/>
        <w:overflowPunct w:val="0"/>
        <w:spacing w:before="80"/>
        <w:ind w:left="2878" w:right="3725"/>
        <w:jc w:val="center"/>
        <w:rPr>
          <w:rFonts w:ascii="Times New Roman" w:hAnsi="Times New Roman"/>
          <w:color w:val="000000"/>
          <w:sz w:val="24"/>
          <w:szCs w:val="24"/>
          <w:lang w:val="az-Latn-AZ"/>
        </w:rPr>
      </w:pPr>
      <w:r w:rsidRPr="009C2EF2">
        <w:rPr>
          <w:rFonts w:ascii="Times New Roman" w:hAnsi="Times New Roman"/>
          <w:color w:val="231F20"/>
          <w:spacing w:val="-3"/>
          <w:sz w:val="24"/>
          <w:szCs w:val="24"/>
          <w:lang w:val="az-Latn-AZ"/>
        </w:rPr>
        <w:t>107</w:t>
      </w:r>
    </w:p>
    <w:p w:rsidR="00D02DD9" w:rsidRPr="009C2EF2" w:rsidRDefault="00D02DD9">
      <w:pPr>
        <w:pStyle w:val="a3"/>
        <w:kinsoku w:val="0"/>
        <w:overflowPunct w:val="0"/>
        <w:spacing w:before="80"/>
        <w:ind w:left="2878" w:right="3725"/>
        <w:jc w:val="center"/>
        <w:rPr>
          <w:rFonts w:ascii="Times New Roman" w:hAnsi="Times New Roman"/>
          <w:color w:val="000000"/>
          <w:sz w:val="24"/>
          <w:szCs w:val="24"/>
          <w:lang w:val="az-Latn-AZ"/>
        </w:rPr>
        <w:sectPr w:rsidR="00D02DD9" w:rsidRPr="009C2EF2">
          <w:footerReference w:type="default" r:id="rId113"/>
          <w:pgSz w:w="8850" w:h="13270"/>
          <w:pgMar w:top="0" w:right="0" w:bottom="0" w:left="1020" w:header="0" w:footer="0" w:gutter="0"/>
          <w:cols w:space="720" w:equalWidth="0">
            <w:col w:w="7830"/>
          </w:cols>
        </w:sectPr>
      </w:pPr>
    </w:p>
    <w:p w:rsidR="00D02DD9" w:rsidRPr="009C2EF2" w:rsidRDefault="00D02DD9">
      <w:pPr>
        <w:pStyle w:val="a3"/>
        <w:kinsoku w:val="0"/>
        <w:overflowPunct w:val="0"/>
        <w:spacing w:before="2"/>
        <w:ind w:left="0"/>
        <w:rPr>
          <w:rFonts w:ascii="Times New Roman" w:hAnsi="Times New Roman"/>
          <w:sz w:val="24"/>
          <w:szCs w:val="24"/>
          <w:lang w:val="az-Latn-AZ"/>
        </w:rPr>
      </w:pPr>
    </w:p>
    <w:p w:rsidR="00D02DD9" w:rsidRPr="009C2EF2" w:rsidRDefault="00D02DD9">
      <w:pPr>
        <w:pStyle w:val="a3"/>
        <w:kinsoku w:val="0"/>
        <w:overflowPunct w:val="0"/>
        <w:spacing w:before="2"/>
        <w:ind w:left="0"/>
        <w:rPr>
          <w:rFonts w:ascii="Times New Roman" w:hAnsi="Times New Roman"/>
          <w:sz w:val="24"/>
          <w:szCs w:val="24"/>
          <w:lang w:val="az-Latn-AZ"/>
        </w:rPr>
        <w:sectPr w:rsidR="00D02DD9" w:rsidRPr="009C2EF2">
          <w:footerReference w:type="default" r:id="rId114"/>
          <w:pgSz w:w="8850" w:h="13270"/>
          <w:pgMar w:top="0" w:right="1020" w:bottom="0" w:left="0" w:header="0" w:footer="0" w:gutter="0"/>
          <w:cols w:space="720"/>
        </w:sectPr>
      </w:pP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rsidP="00D01B60">
      <w:pPr>
        <w:pStyle w:val="Heading11"/>
        <w:kinsoku w:val="0"/>
        <w:overflowPunct w:val="0"/>
        <w:ind w:left="963" w:right="-255" w:hanging="153"/>
        <w:outlineLvl w:val="9"/>
        <w:rPr>
          <w:rFonts w:ascii="Times New Roman" w:hAnsi="Times New Roman"/>
          <w:b w:val="0"/>
          <w:color w:val="000000"/>
          <w:sz w:val="24"/>
          <w:szCs w:val="24"/>
          <w:lang w:val="az-Latn-AZ"/>
        </w:rPr>
      </w:pPr>
      <w:bookmarkStart w:id="15" w:name="bookmark14"/>
      <w:bookmarkEnd w:id="15"/>
      <w:r w:rsidRPr="009C2EF2">
        <w:rPr>
          <w:rFonts w:ascii="Times New Roman" w:hAnsi="Times New Roman"/>
          <w:color w:val="231F20"/>
          <w:spacing w:val="-5"/>
          <w:sz w:val="24"/>
          <w:szCs w:val="24"/>
          <w:lang w:val="az-Latn-AZ"/>
        </w:rPr>
        <w:t>İndeks</w:t>
      </w:r>
    </w:p>
    <w:p w:rsidR="00D02DD9" w:rsidRPr="009C2EF2" w:rsidRDefault="003C64E0">
      <w:pPr>
        <w:pStyle w:val="a3"/>
        <w:kinsoku w:val="0"/>
        <w:overflowPunct w:val="0"/>
        <w:spacing w:before="79"/>
        <w:ind w:left="963"/>
        <w:rPr>
          <w:rFonts w:ascii="Times New Roman" w:hAnsi="Times New Roman"/>
          <w:color w:val="000000"/>
          <w:sz w:val="24"/>
          <w:szCs w:val="24"/>
          <w:lang w:val="az-Latn-AZ"/>
        </w:rPr>
      </w:pPr>
      <w:r w:rsidRPr="009C2EF2">
        <w:rPr>
          <w:rFonts w:ascii="Times New Roman" w:hAnsi="Times New Roman"/>
          <w:sz w:val="24"/>
          <w:szCs w:val="24"/>
          <w:lang w:val="az-Latn-AZ"/>
        </w:rPr>
        <w:br w:type="column"/>
      </w:r>
      <w:r w:rsidRPr="009C2EF2">
        <w:rPr>
          <w:rFonts w:ascii="Times New Roman" w:hAnsi="Times New Roman"/>
          <w:i/>
          <w:color w:val="231F20"/>
          <w:spacing w:val="1"/>
          <w:sz w:val="24"/>
          <w:szCs w:val="24"/>
          <w:lang w:val="az-Latn-AZ"/>
        </w:rPr>
        <w:lastRenderedPageBreak/>
        <w:t>Beynəlxalq Qiymətləndirmə Standartları</w:t>
      </w:r>
    </w:p>
    <w:p w:rsidR="00D02DD9" w:rsidRPr="009C2EF2" w:rsidRDefault="00D02DD9">
      <w:pPr>
        <w:pStyle w:val="a3"/>
        <w:kinsoku w:val="0"/>
        <w:overflowPunct w:val="0"/>
        <w:spacing w:before="79"/>
        <w:ind w:left="963"/>
        <w:rPr>
          <w:rFonts w:ascii="Times New Roman" w:hAnsi="Times New Roman"/>
          <w:color w:val="000000"/>
          <w:sz w:val="24"/>
          <w:szCs w:val="24"/>
          <w:lang w:val="az-Latn-AZ"/>
        </w:rPr>
        <w:sectPr w:rsidR="00D02DD9" w:rsidRPr="009C2EF2">
          <w:type w:val="continuous"/>
          <w:pgSz w:w="8850" w:h="13270"/>
          <w:pgMar w:top="1000" w:right="1020" w:bottom="280" w:left="0" w:header="720" w:footer="720" w:gutter="0"/>
          <w:cols w:num="2" w:space="720" w:equalWidth="0">
            <w:col w:w="1995" w:space="174"/>
            <w:col w:w="5661"/>
          </w:cols>
        </w:sectPr>
      </w:pPr>
    </w:p>
    <w:p w:rsidR="00D02DD9" w:rsidRPr="009C2EF2" w:rsidRDefault="0075026C">
      <w:pPr>
        <w:pStyle w:val="a3"/>
        <w:kinsoku w:val="0"/>
        <w:overflowPunct w:val="0"/>
        <w:ind w:left="0"/>
        <w:rPr>
          <w:rFonts w:ascii="Times New Roman" w:hAnsi="Times New Roman"/>
          <w:i/>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6272" behindDoc="1" locked="0" layoutInCell="0" allowOverlap="1">
                <wp:simplePos x="0" y="0"/>
                <wp:positionH relativeFrom="page">
                  <wp:posOffset>0</wp:posOffset>
                </wp:positionH>
                <wp:positionV relativeFrom="page">
                  <wp:posOffset>0</wp:posOffset>
                </wp:positionV>
                <wp:extent cx="432435" cy="8424545"/>
                <wp:effectExtent l="0" t="0" r="0" b="0"/>
                <wp:wrapNone/>
                <wp:docPr id="36"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9D83D2" id="Freeform 233" o:spid="_x0000_s1026" style="position:absolute;margin-left:0;margin-top:0;width:34.05pt;height:663.3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dZn3R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ind w:left="0"/>
        <w:rPr>
          <w:rFonts w:ascii="Times New Roman" w:hAnsi="Times New Roman"/>
          <w:i/>
          <w:sz w:val="24"/>
          <w:szCs w:val="24"/>
          <w:lang w:val="az-Latn-AZ"/>
        </w:rPr>
      </w:pPr>
    </w:p>
    <w:p w:rsidR="00D02DD9" w:rsidRPr="009C2EF2" w:rsidRDefault="00D02DD9">
      <w:pPr>
        <w:pStyle w:val="a3"/>
        <w:kinsoku w:val="0"/>
        <w:overflowPunct w:val="0"/>
        <w:spacing w:before="11"/>
        <w:ind w:left="0"/>
        <w:rPr>
          <w:rFonts w:ascii="Times New Roman" w:hAnsi="Times New Roman"/>
          <w:i/>
          <w:sz w:val="24"/>
          <w:szCs w:val="24"/>
          <w:lang w:val="az-Latn-AZ"/>
        </w:rPr>
      </w:pPr>
    </w:p>
    <w:p w:rsidR="00D02DD9" w:rsidRPr="009C2EF2" w:rsidRDefault="003C64E0">
      <w:pPr>
        <w:pStyle w:val="Heading21"/>
        <w:kinsoku w:val="0"/>
        <w:overflowPunct w:val="0"/>
        <w:spacing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A</w:t>
      </w:r>
    </w:p>
    <w:p w:rsidR="00D02DD9" w:rsidRPr="009C2EF2" w:rsidRDefault="003C64E0">
      <w:pPr>
        <w:pStyle w:val="a3"/>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uyğunlaşdırmalar</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yanaşması</w:t>
      </w:r>
      <w:r w:rsidRPr="009C2EF2">
        <w:rPr>
          <w:rFonts w:ascii="Times New Roman" w:hAnsi="Times New Roman"/>
          <w:color w:val="231F20"/>
          <w:spacing w:val="1"/>
          <w:sz w:val="24"/>
          <w:szCs w:val="24"/>
          <w:lang w:val="az-Latn-AZ"/>
        </w:rPr>
        <w:tab/>
        <w:t>45–47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w:t>
      </w:r>
      <w:r w:rsidRPr="009C2EF2">
        <w:rPr>
          <w:rFonts w:ascii="Times New Roman" w:hAnsi="Times New Roman"/>
          <w:color w:val="231F20"/>
          <w:sz w:val="24"/>
          <w:szCs w:val="24"/>
          <w:lang w:val="az-Latn-AZ"/>
        </w:rPr>
        <w:tab/>
        <w:t>104–106</w:t>
      </w:r>
    </w:p>
    <w:p w:rsidR="00D02DD9" w:rsidRPr="009C2EF2" w:rsidRDefault="003C64E0">
      <w:pPr>
        <w:pStyle w:val="a3"/>
        <w:tabs>
          <w:tab w:val="left" w:pos="6903"/>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qiymətdəndüşmə/ köhnəlmə üzrə</w:t>
      </w:r>
      <w:r w:rsidRPr="009C2EF2">
        <w:rPr>
          <w:rFonts w:ascii="Times New Roman" w:hAnsi="Times New Roman"/>
          <w:color w:val="231F20"/>
          <w:sz w:val="24"/>
          <w:szCs w:val="24"/>
          <w:lang w:val="az-Latn-AZ"/>
        </w:rPr>
        <w:tab/>
        <w:t>46–47, 85</w:t>
      </w:r>
    </w:p>
    <w:p w:rsidR="00D02DD9" w:rsidRPr="009C2EF2" w:rsidRDefault="003C64E0">
      <w:pPr>
        <w:pStyle w:val="a3"/>
        <w:tabs>
          <w:tab w:val="left" w:pos="6577"/>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gəlir yanaşması</w:t>
      </w:r>
      <w:r w:rsidRPr="009C2EF2">
        <w:rPr>
          <w:rFonts w:ascii="Times New Roman" w:hAnsi="Times New Roman"/>
          <w:color w:val="231F20"/>
          <w:spacing w:val="1"/>
          <w:sz w:val="24"/>
          <w:szCs w:val="24"/>
          <w:lang w:val="az-Latn-AZ"/>
        </w:rPr>
        <w:tab/>
        <w:t>52–53, 62–63</w:t>
      </w:r>
    </w:p>
    <w:p w:rsidR="00D02DD9" w:rsidRPr="009C2EF2" w:rsidRDefault="003C64E0">
      <w:pPr>
        <w:pStyle w:val="a3"/>
        <w:tabs>
          <w:tab w:val="left" w:pos="5890"/>
        </w:tabs>
        <w:kinsoku w:val="0"/>
        <w:overflowPunct w:val="0"/>
        <w:spacing w:before="9" w:line="250" w:lineRule="auto"/>
        <w:ind w:left="963" w:right="111" w:firstLine="567"/>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w:t>
      </w:r>
      <w:r w:rsidRPr="009C2EF2">
        <w:rPr>
          <w:rFonts w:ascii="Times New Roman" w:hAnsi="Times New Roman"/>
          <w:color w:val="231F20"/>
          <w:sz w:val="24"/>
          <w:szCs w:val="24"/>
          <w:lang w:val="az-Latn-AZ"/>
        </w:rPr>
        <w:tab/>
        <w:t>31, 33, 34–36, 60, 102 aktiv standartları; bax: BQS Aktiv üzrə Standartlar</w:t>
      </w:r>
    </w:p>
    <w:p w:rsidR="00D02DD9" w:rsidRPr="009C2EF2" w:rsidRDefault="003C64E0">
      <w:pPr>
        <w:pStyle w:val="a3"/>
        <w:tabs>
          <w:tab w:val="left" w:pos="7105"/>
        </w:tabs>
        <w:kinsoku w:val="0"/>
        <w:overflowPunct w:val="0"/>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aktivlər və passivlər</w:t>
      </w:r>
      <w:r w:rsidRPr="009C2EF2">
        <w:rPr>
          <w:rFonts w:ascii="Times New Roman" w:hAnsi="Times New Roman"/>
          <w:color w:val="231F20"/>
          <w:sz w:val="24"/>
          <w:szCs w:val="24"/>
          <w:lang w:val="az-Latn-AZ"/>
        </w:rPr>
        <w:tab/>
        <w:t>3, 6, 26</w:t>
      </w:r>
    </w:p>
    <w:p w:rsidR="00D02DD9" w:rsidRPr="009C2EF2" w:rsidRDefault="003C64E0">
      <w:pPr>
        <w:pStyle w:val="a3"/>
        <w:tabs>
          <w:tab w:val="left" w:pos="7205"/>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köməkçi aktivlər</w:t>
      </w:r>
      <w:r w:rsidRPr="009C2EF2">
        <w:rPr>
          <w:rFonts w:ascii="Times New Roman" w:hAnsi="Times New Roman"/>
          <w:color w:val="231F20"/>
          <w:spacing w:val="1"/>
          <w:sz w:val="24"/>
          <w:szCs w:val="24"/>
          <w:lang w:val="az-Latn-AZ"/>
        </w:rPr>
        <w:tab/>
        <w:t>62, 63</w:t>
      </w:r>
    </w:p>
    <w:p w:rsidR="00D02DD9" w:rsidRPr="009C2EF2" w:rsidRDefault="003C64E0">
      <w:pPr>
        <w:pStyle w:val="a3"/>
        <w:tabs>
          <w:tab w:val="left" w:pos="7205"/>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mövcud aktiv</w:t>
      </w:r>
      <w:r w:rsidRPr="009C2EF2">
        <w:rPr>
          <w:rFonts w:ascii="Times New Roman" w:hAnsi="Times New Roman"/>
          <w:color w:val="231F20"/>
          <w:sz w:val="24"/>
          <w:szCs w:val="24"/>
          <w:lang w:val="az-Latn-AZ"/>
        </w:rPr>
        <w:tab/>
        <w:t>97–98</w:t>
      </w:r>
    </w:p>
    <w:p w:rsidR="00D02DD9" w:rsidRPr="009C2EF2" w:rsidRDefault="003C64E0">
      <w:pPr>
        <w:pStyle w:val="a3"/>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qeyri-maddi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Qeyri-maddi Aktivlər (BQS 210)</w:t>
      </w:r>
    </w:p>
    <w:p w:rsidR="00D02DD9" w:rsidRPr="009C2EF2" w:rsidRDefault="003C64E0">
      <w:pPr>
        <w:pStyle w:val="a3"/>
        <w:tabs>
          <w:tab w:val="left" w:pos="5989"/>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icarə öhdəlikləri</w:t>
      </w:r>
      <w:r w:rsidRPr="009C2EF2">
        <w:rPr>
          <w:rFonts w:ascii="Times New Roman" w:hAnsi="Times New Roman"/>
          <w:color w:val="231F20"/>
          <w:sz w:val="24"/>
          <w:szCs w:val="24"/>
          <w:lang w:val="az-Latn-AZ"/>
        </w:rPr>
        <w:tab/>
        <w:t>21–22, 74, 80, 86–87</w:t>
      </w:r>
    </w:p>
    <w:p w:rsidR="00D02DD9" w:rsidRPr="009C2EF2" w:rsidRDefault="003C64E0">
      <w:pPr>
        <w:pStyle w:val="a3"/>
        <w:tabs>
          <w:tab w:val="left" w:pos="718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və qeyri-əməliyyat aktivləri</w:t>
      </w:r>
      <w:r w:rsidRPr="009C2EF2">
        <w:rPr>
          <w:rFonts w:ascii="Times New Roman" w:hAnsi="Times New Roman"/>
          <w:color w:val="231F20"/>
          <w:sz w:val="24"/>
          <w:szCs w:val="24"/>
          <w:lang w:val="az-Latn-AZ"/>
        </w:rPr>
        <w:tab/>
        <w:t>55–56</w:t>
      </w:r>
    </w:p>
    <w:p w:rsidR="00D02DD9" w:rsidRPr="009C2EF2" w:rsidRDefault="003C64E0">
      <w:pPr>
        <w:pStyle w:val="a3"/>
        <w:tabs>
          <w:tab w:val="left" w:pos="76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müvafiq aktiv</w:t>
      </w:r>
      <w:r w:rsidRPr="009C2EF2">
        <w:rPr>
          <w:rFonts w:ascii="Times New Roman" w:hAnsi="Times New Roman"/>
          <w:color w:val="231F20"/>
          <w:sz w:val="24"/>
          <w:szCs w:val="24"/>
          <w:lang w:val="az-Latn-AZ"/>
        </w:rPr>
        <w:tab/>
        <w:t>4</w:t>
      </w:r>
    </w:p>
    <w:p w:rsidR="00D02DD9" w:rsidRPr="009C2EF2" w:rsidRDefault="0075026C">
      <w:pPr>
        <w:pStyle w:val="a3"/>
        <w:tabs>
          <w:tab w:val="left" w:pos="7210"/>
        </w:tabs>
        <w:kinsoku w:val="0"/>
        <w:overflowPunct w:val="0"/>
        <w:spacing w:before="9"/>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47488" behindDoc="0" locked="0" layoutInCell="0" allowOverlap="1">
                <wp:simplePos x="0" y="0"/>
                <wp:positionH relativeFrom="page">
                  <wp:posOffset>156845</wp:posOffset>
                </wp:positionH>
                <wp:positionV relativeFrom="paragraph">
                  <wp:posOffset>104140</wp:posOffset>
                </wp:positionV>
                <wp:extent cx="152400" cy="353695"/>
                <wp:effectExtent l="0" t="0" r="0" b="0"/>
                <wp:wrapNone/>
                <wp:docPr id="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46" type="#_x0000_t202" style="position:absolute;left:0;text-align:left;margin-left:12.35pt;margin-top:8.2pt;width:12pt;height:27.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fqsgIAALc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tükənən aktivlər</w:t>
      </w:r>
      <w:r w:rsidR="003C64E0" w:rsidRPr="009C2EF2">
        <w:rPr>
          <w:rFonts w:ascii="Times New Roman" w:hAnsi="Times New Roman"/>
          <w:color w:val="231F20"/>
          <w:sz w:val="24"/>
          <w:szCs w:val="24"/>
          <w:lang w:val="az-Latn-AZ"/>
        </w:rPr>
        <w:tab/>
        <w:t>41–42</w:t>
      </w:r>
    </w:p>
    <w:p w:rsidR="00D02DD9" w:rsidRPr="009C2EF2" w:rsidRDefault="003C64E0">
      <w:pPr>
        <w:pStyle w:val="a3"/>
        <w:tabs>
          <w:tab w:val="left" w:pos="7198"/>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nəzərdə tutulan istifadə</w:t>
      </w:r>
      <w:r w:rsidRPr="009C2EF2">
        <w:rPr>
          <w:rFonts w:ascii="Times New Roman" w:hAnsi="Times New Roman"/>
          <w:color w:val="231F20"/>
          <w:sz w:val="24"/>
          <w:szCs w:val="24"/>
          <w:lang w:val="az-Latn-AZ"/>
        </w:rPr>
        <w:tab/>
        <w:t>24–26</w:t>
      </w:r>
    </w:p>
    <w:p w:rsidR="00D02DD9" w:rsidRPr="009C2EF2" w:rsidRDefault="003C64E0">
      <w:pPr>
        <w:pStyle w:val="a3"/>
        <w:tabs>
          <w:tab w:val="left" w:pos="6638"/>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ehtimallar</w:t>
      </w:r>
      <w:r w:rsidRPr="009C2EF2">
        <w:rPr>
          <w:rFonts w:ascii="Times New Roman" w:hAnsi="Times New Roman"/>
          <w:color w:val="231F20"/>
          <w:w w:val="95"/>
          <w:sz w:val="24"/>
          <w:szCs w:val="24"/>
          <w:lang w:val="az-Latn-AZ"/>
        </w:rPr>
        <w:tab/>
        <w:t>10, 11, 27–28</w:t>
      </w:r>
    </w:p>
    <w:p w:rsidR="00D02DD9" w:rsidRPr="009C2EF2" w:rsidRDefault="003C64E0">
      <w:pPr>
        <w:pStyle w:val="a3"/>
        <w:tabs>
          <w:tab w:val="left" w:pos="7508"/>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93</w:t>
      </w:r>
    </w:p>
    <w:p w:rsidR="00D02DD9" w:rsidRPr="009C2EF2" w:rsidRDefault="003C64E0">
      <w:pPr>
        <w:pStyle w:val="a3"/>
        <w:tabs>
          <w:tab w:val="left" w:pos="7507"/>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77</w:t>
      </w:r>
    </w:p>
    <w:p w:rsidR="00D02DD9" w:rsidRPr="009C2EF2" w:rsidRDefault="003C64E0">
      <w:pPr>
        <w:pStyle w:val="a3"/>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həmçinin </w:t>
      </w:r>
      <w:r w:rsidRPr="009C2EF2">
        <w:rPr>
          <w:rFonts w:ascii="Times New Roman" w:hAnsi="Times New Roman"/>
          <w:i/>
          <w:color w:val="231F20"/>
          <w:sz w:val="24"/>
          <w:szCs w:val="24"/>
          <w:lang w:val="az-Latn-AZ"/>
        </w:rPr>
        <w:t>bax</w:t>
      </w:r>
      <w:r w:rsidRPr="009C2EF2">
        <w:rPr>
          <w:rFonts w:ascii="Times New Roman" w:hAnsi="Times New Roman"/>
          <w:color w:val="231F20"/>
          <w:spacing w:val="1"/>
          <w:sz w:val="24"/>
          <w:szCs w:val="24"/>
          <w:lang w:val="az-Latn-AZ"/>
        </w:rPr>
        <w:t>: xüsusi ehtimallar</w:t>
      </w:r>
    </w:p>
    <w:p w:rsidR="00D02DD9" w:rsidRPr="009C2EF2" w:rsidRDefault="003C64E0">
      <w:pPr>
        <w:pStyle w:val="a3"/>
        <w:tabs>
          <w:tab w:val="left" w:pos="7219"/>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itki</w:t>
      </w:r>
      <w:r w:rsidRPr="009C2EF2">
        <w:rPr>
          <w:rFonts w:ascii="Times New Roman" w:hAnsi="Times New Roman"/>
          <w:color w:val="231F20"/>
          <w:w w:val="95"/>
          <w:sz w:val="24"/>
          <w:szCs w:val="24"/>
          <w:lang w:val="az-Latn-AZ"/>
        </w:rPr>
        <w:tab/>
        <w:t>71–72</w:t>
      </w: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Heading21"/>
        <w:kinsoku w:val="0"/>
        <w:overflowPunct w:val="0"/>
        <w:spacing w:before="0"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B</w:t>
      </w:r>
    </w:p>
    <w:p w:rsidR="00D02DD9" w:rsidRPr="009C2EF2" w:rsidRDefault="003C64E0">
      <w:pPr>
        <w:pStyle w:val="a3"/>
        <w:tabs>
          <w:tab w:val="left" w:pos="7514"/>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 bazaları</w:t>
      </w:r>
      <w:r w:rsidRPr="009C2EF2">
        <w:rPr>
          <w:rFonts w:ascii="Times New Roman" w:hAnsi="Times New Roman"/>
          <w:color w:val="231F20"/>
          <w:sz w:val="24"/>
          <w:szCs w:val="24"/>
          <w:lang w:val="az-Latn-AZ"/>
        </w:rPr>
        <w:tab/>
        <w:t>10</w:t>
      </w:r>
    </w:p>
    <w:p w:rsidR="00D02DD9" w:rsidRPr="009C2EF2" w:rsidRDefault="003C64E0">
      <w:pPr>
        <w:pStyle w:val="a3"/>
        <w:tabs>
          <w:tab w:val="left" w:pos="7506"/>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50</w:t>
      </w:r>
    </w:p>
    <w:p w:rsidR="00D02DD9" w:rsidRPr="009C2EF2" w:rsidRDefault="003C64E0">
      <w:pPr>
        <w:pStyle w:val="a3"/>
        <w:tabs>
          <w:tab w:val="left" w:pos="718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89–90</w:t>
      </w:r>
    </w:p>
    <w:p w:rsidR="00D02DD9" w:rsidRPr="009C2EF2" w:rsidRDefault="003C64E0">
      <w:pPr>
        <w:pStyle w:val="a3"/>
        <w:tabs>
          <w:tab w:val="left" w:pos="7417"/>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101</w:t>
      </w:r>
    </w:p>
    <w:p w:rsidR="00D02DD9" w:rsidRPr="009C2EF2" w:rsidRDefault="003C64E0">
      <w:pPr>
        <w:pStyle w:val="a3"/>
        <w:tabs>
          <w:tab w:val="left" w:pos="718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59–60</w:t>
      </w:r>
    </w:p>
    <w:p w:rsidR="00D02DD9" w:rsidRPr="009C2EF2" w:rsidRDefault="003C64E0">
      <w:pPr>
        <w:pStyle w:val="a3"/>
        <w:tabs>
          <w:tab w:val="left" w:pos="7215"/>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istehsalat vasitələri, maşın və avadanlıqlar</w:t>
      </w:r>
      <w:r w:rsidRPr="009C2EF2">
        <w:rPr>
          <w:rFonts w:ascii="Times New Roman" w:hAnsi="Times New Roman"/>
          <w:color w:val="231F20"/>
          <w:sz w:val="24"/>
          <w:szCs w:val="24"/>
          <w:lang w:val="az-Latn-AZ"/>
        </w:rPr>
        <w:tab/>
        <w:t>77–78</w:t>
      </w:r>
    </w:p>
    <w:p w:rsidR="00D02DD9" w:rsidRPr="009C2EF2" w:rsidRDefault="003C64E0">
      <w:pPr>
        <w:pStyle w:val="a3"/>
        <w:tabs>
          <w:tab w:val="left" w:pos="7506"/>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83</w:t>
      </w:r>
    </w:p>
    <w:p w:rsidR="00D02DD9" w:rsidRPr="009C2EF2" w:rsidRDefault="00C73947">
      <w:pPr>
        <w:pStyle w:val="a3"/>
        <w:tabs>
          <w:tab w:val="left" w:pos="7199"/>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D</w:t>
      </w:r>
      <w:r w:rsidR="003C64E0" w:rsidRPr="009C2EF2">
        <w:rPr>
          <w:rFonts w:ascii="Times New Roman" w:hAnsi="Times New Roman"/>
          <w:color w:val="231F20"/>
          <w:sz w:val="24"/>
          <w:szCs w:val="24"/>
          <w:lang w:val="az-Latn-AZ"/>
        </w:rPr>
        <w:t>əyər bazaları (BQS 104)</w:t>
      </w:r>
      <w:r w:rsidR="003C64E0" w:rsidRPr="009C2EF2">
        <w:rPr>
          <w:rFonts w:ascii="Times New Roman" w:hAnsi="Times New Roman"/>
          <w:color w:val="231F20"/>
          <w:sz w:val="24"/>
          <w:szCs w:val="24"/>
          <w:lang w:val="az-Latn-AZ"/>
        </w:rPr>
        <w:tab/>
        <w:t>16–28</w:t>
      </w:r>
    </w:p>
    <w:p w:rsidR="00D02DD9" w:rsidRPr="009C2EF2" w:rsidRDefault="003C64E0">
      <w:pPr>
        <w:pStyle w:val="a3"/>
        <w:tabs>
          <w:tab w:val="left" w:pos="7213"/>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ehtimallar və xüsusi ehtimallar</w:t>
      </w:r>
      <w:r w:rsidRPr="009C2EF2">
        <w:rPr>
          <w:rFonts w:ascii="Times New Roman" w:hAnsi="Times New Roman"/>
          <w:color w:val="231F20"/>
          <w:sz w:val="24"/>
          <w:szCs w:val="24"/>
          <w:lang w:val="az-Latn-AZ"/>
        </w:rPr>
        <w:tab/>
        <w:t>27–28</w:t>
      </w:r>
    </w:p>
    <w:p w:rsidR="00D02DD9" w:rsidRPr="009C2EF2" w:rsidRDefault="003C64E0">
      <w:pPr>
        <w:pStyle w:val="a3"/>
        <w:tabs>
          <w:tab w:val="left" w:pos="7508"/>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müəssisəyə xas amillər</w:t>
      </w:r>
      <w:r w:rsidRPr="009C2EF2">
        <w:rPr>
          <w:rFonts w:ascii="Times New Roman" w:hAnsi="Times New Roman"/>
          <w:color w:val="231F20"/>
          <w:spacing w:val="1"/>
          <w:sz w:val="24"/>
          <w:szCs w:val="24"/>
          <w:lang w:val="az-Latn-AZ"/>
        </w:rPr>
        <w:tab/>
        <w:t>26</w:t>
      </w:r>
    </w:p>
    <w:p w:rsidR="00D02DD9" w:rsidRPr="009C2EF2" w:rsidRDefault="003C64E0">
      <w:pPr>
        <w:pStyle w:val="a3"/>
        <w:tabs>
          <w:tab w:val="left" w:pos="7508"/>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bazar dəyəri</w:t>
      </w:r>
      <w:r w:rsidRPr="009C2EF2">
        <w:rPr>
          <w:rFonts w:ascii="Times New Roman" w:hAnsi="Times New Roman"/>
          <w:color w:val="231F20"/>
          <w:sz w:val="24"/>
          <w:szCs w:val="24"/>
          <w:lang w:val="az-Latn-AZ"/>
        </w:rPr>
        <w:tab/>
        <w:t>23</w:t>
      </w:r>
    </w:p>
    <w:p w:rsidR="00D02DD9" w:rsidRPr="009C2EF2" w:rsidRDefault="003C64E0">
      <w:pPr>
        <w:pStyle w:val="a3"/>
        <w:tabs>
          <w:tab w:val="left" w:pos="7196"/>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dəyər</w:t>
      </w:r>
      <w:r w:rsidRPr="009C2EF2">
        <w:rPr>
          <w:rFonts w:ascii="Times New Roman" w:hAnsi="Times New Roman"/>
          <w:color w:val="231F20"/>
          <w:sz w:val="24"/>
          <w:szCs w:val="24"/>
          <w:lang w:val="az-Latn-AZ"/>
        </w:rPr>
        <w:tab/>
        <w:t>23–24</w:t>
      </w:r>
    </w:p>
    <w:p w:rsidR="00D02DD9" w:rsidRPr="009C2EF2" w:rsidRDefault="003C64E0">
      <w:pPr>
        <w:pStyle w:val="a3"/>
        <w:tabs>
          <w:tab w:val="left" w:pos="7199"/>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BQS-də göstərilmiş</w:t>
      </w:r>
      <w:r w:rsidRPr="009C2EF2">
        <w:rPr>
          <w:rFonts w:ascii="Times New Roman" w:hAnsi="Times New Roman"/>
          <w:color w:val="231F20"/>
          <w:sz w:val="24"/>
          <w:szCs w:val="24"/>
          <w:lang w:val="az-Latn-AZ"/>
        </w:rPr>
        <w:tab/>
        <w:t>18–22</w:t>
      </w:r>
    </w:p>
    <w:p w:rsidR="00D02DD9" w:rsidRPr="009C2EF2" w:rsidRDefault="003C64E0">
      <w:pPr>
        <w:pStyle w:val="a3"/>
        <w:tabs>
          <w:tab w:val="left" w:pos="7207"/>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razılaşma dəyəri</w:t>
      </w:r>
      <w:r w:rsidRPr="009C2EF2">
        <w:rPr>
          <w:rFonts w:ascii="Times New Roman" w:hAnsi="Times New Roman"/>
          <w:color w:val="231F20"/>
          <w:sz w:val="24"/>
          <w:szCs w:val="24"/>
          <w:lang w:val="az-Latn-AZ"/>
        </w:rPr>
        <w:tab/>
        <w:t>21–22</w:t>
      </w:r>
    </w:p>
    <w:p w:rsidR="00D02DD9" w:rsidRPr="009C2EF2" w:rsidRDefault="003C64E0">
      <w:pPr>
        <w:pStyle w:val="a3"/>
        <w:tabs>
          <w:tab w:val="left" w:pos="7506"/>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investisiya dəyəri</w:t>
      </w:r>
      <w:r w:rsidRPr="009C2EF2">
        <w:rPr>
          <w:rFonts w:ascii="Times New Roman" w:hAnsi="Times New Roman"/>
          <w:color w:val="231F20"/>
          <w:spacing w:val="-1"/>
          <w:sz w:val="24"/>
          <w:szCs w:val="24"/>
          <w:lang w:val="az-Latn-AZ"/>
        </w:rPr>
        <w:tab/>
        <w:t>22</w:t>
      </w:r>
    </w:p>
    <w:p w:rsidR="00D02DD9" w:rsidRPr="009C2EF2" w:rsidRDefault="003C64E0">
      <w:pPr>
        <w:pStyle w:val="a3"/>
        <w:tabs>
          <w:tab w:val="left" w:pos="7506"/>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ləğvetmə dəyəri</w:t>
      </w:r>
      <w:r w:rsidRPr="009C2EF2">
        <w:rPr>
          <w:rFonts w:ascii="Times New Roman" w:hAnsi="Times New Roman"/>
          <w:color w:val="231F20"/>
          <w:sz w:val="24"/>
          <w:szCs w:val="24"/>
          <w:lang w:val="az-Latn-AZ"/>
        </w:rPr>
        <w:tab/>
        <w:t>22</w:t>
      </w:r>
    </w:p>
    <w:p w:rsidR="00D02DD9" w:rsidRPr="009C2EF2" w:rsidRDefault="003C64E0">
      <w:pPr>
        <w:pStyle w:val="a3"/>
        <w:tabs>
          <w:tab w:val="left" w:pos="7215"/>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icarə haqqı</w:t>
      </w:r>
      <w:r w:rsidRPr="009C2EF2">
        <w:rPr>
          <w:rFonts w:ascii="Times New Roman" w:hAnsi="Times New Roman"/>
          <w:color w:val="231F20"/>
          <w:sz w:val="24"/>
          <w:szCs w:val="24"/>
          <w:lang w:val="az-Latn-AZ"/>
        </w:rPr>
        <w:tab/>
        <w:t>21, 86</w:t>
      </w:r>
    </w:p>
    <w:p w:rsidR="00D02DD9" w:rsidRPr="009C2EF2" w:rsidRDefault="003C64E0">
      <w:pPr>
        <w:pStyle w:val="a3"/>
        <w:tabs>
          <w:tab w:val="left" w:pos="720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dəyəri</w:t>
      </w:r>
      <w:r w:rsidRPr="009C2EF2">
        <w:rPr>
          <w:rFonts w:ascii="Times New Roman" w:hAnsi="Times New Roman"/>
          <w:color w:val="231F20"/>
          <w:sz w:val="24"/>
          <w:szCs w:val="24"/>
          <w:lang w:val="az-Latn-AZ"/>
        </w:rPr>
        <w:tab/>
        <w:t>18–20</w:t>
      </w:r>
    </w:p>
    <w:p w:rsidR="00D02DD9" w:rsidRPr="009C2EF2" w:rsidRDefault="003C64E0">
      <w:pPr>
        <w:pStyle w:val="a3"/>
        <w:tabs>
          <w:tab w:val="left" w:pos="7506"/>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sinerji dəyəri</w:t>
      </w:r>
      <w:r w:rsidRPr="009C2EF2">
        <w:rPr>
          <w:rFonts w:ascii="Times New Roman" w:hAnsi="Times New Roman"/>
          <w:color w:val="231F20"/>
          <w:sz w:val="24"/>
          <w:szCs w:val="24"/>
          <w:lang w:val="az-Latn-AZ"/>
        </w:rPr>
        <w:tab/>
        <w:t>22</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7"/>
        <w:ind w:left="0"/>
        <w:rPr>
          <w:rFonts w:ascii="Times New Roman" w:hAnsi="Times New Roman"/>
          <w:sz w:val="24"/>
          <w:szCs w:val="24"/>
          <w:lang w:val="az-Latn-AZ"/>
        </w:rPr>
      </w:pPr>
    </w:p>
    <w:p w:rsidR="00D02DD9" w:rsidRPr="009C2EF2" w:rsidRDefault="003C64E0">
      <w:pPr>
        <w:pStyle w:val="a3"/>
        <w:kinsoku w:val="0"/>
        <w:overflowPunct w:val="0"/>
        <w:spacing w:before="79"/>
        <w:ind w:left="4183" w:right="3334"/>
        <w:jc w:val="center"/>
        <w:rPr>
          <w:rFonts w:ascii="Times New Roman" w:hAnsi="Times New Roman"/>
          <w:color w:val="000000"/>
          <w:sz w:val="24"/>
          <w:szCs w:val="24"/>
          <w:lang w:val="az-Latn-AZ"/>
        </w:rPr>
      </w:pPr>
      <w:r w:rsidRPr="009C2EF2">
        <w:rPr>
          <w:rFonts w:ascii="Times New Roman" w:hAnsi="Times New Roman"/>
          <w:color w:val="231F20"/>
          <w:sz w:val="24"/>
          <w:szCs w:val="24"/>
          <w:lang w:val="az-Latn-AZ"/>
        </w:rPr>
        <w:t>108</w:t>
      </w:r>
    </w:p>
    <w:p w:rsidR="00D02DD9" w:rsidRPr="009C2EF2" w:rsidRDefault="00D02DD9">
      <w:pPr>
        <w:pStyle w:val="a3"/>
        <w:kinsoku w:val="0"/>
        <w:overflowPunct w:val="0"/>
        <w:spacing w:before="79"/>
        <w:ind w:left="4183" w:right="3334"/>
        <w:jc w:val="center"/>
        <w:rPr>
          <w:rFonts w:ascii="Times New Roman" w:hAnsi="Times New Roman"/>
          <w:color w:val="000000"/>
          <w:sz w:val="24"/>
          <w:szCs w:val="24"/>
          <w:lang w:val="az-Latn-AZ"/>
        </w:rPr>
        <w:sectPr w:rsidR="00D02DD9" w:rsidRPr="009C2EF2">
          <w:type w:val="continuous"/>
          <w:pgSz w:w="8850" w:h="13270"/>
          <w:pgMar w:top="1000" w:right="1020" w:bottom="280" w:left="0" w:header="720" w:footer="720" w:gutter="0"/>
          <w:cols w:space="720" w:equalWidth="0">
            <w:col w:w="783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7296" behindDoc="1" locked="0" layoutInCell="0" allowOverlap="1">
                <wp:simplePos x="0" y="0"/>
                <wp:positionH relativeFrom="page">
                  <wp:posOffset>5183505</wp:posOffset>
                </wp:positionH>
                <wp:positionV relativeFrom="page">
                  <wp:posOffset>0</wp:posOffset>
                </wp:positionV>
                <wp:extent cx="431800" cy="8423910"/>
                <wp:effectExtent l="0" t="0" r="0" b="0"/>
                <wp:wrapNone/>
                <wp:docPr id="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CF13D4" id="Freeform 235" o:spid="_x0000_s1026" style="position:absolute;margin-left:408.15pt;margin-top:0;width:34pt;height:663.3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wA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1eScAH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rsidP="00D01B60">
      <w:pPr>
        <w:pStyle w:val="a3"/>
        <w:kinsoku w:val="0"/>
        <w:overflowPunct w:val="0"/>
        <w:spacing w:before="79"/>
        <w:ind w:left="3332" w:right="3840"/>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İndeks</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tabs>
          <w:tab w:val="right" w:pos="6920"/>
        </w:tabs>
        <w:kinsoku w:val="0"/>
        <w:overflowPunct w:val="0"/>
        <w:spacing w:before="77"/>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 şərtləri</w:t>
      </w:r>
      <w:r w:rsidRPr="009C2EF2">
        <w:rPr>
          <w:rFonts w:ascii="Times New Roman" w:hAnsi="Times New Roman"/>
          <w:color w:val="231F20"/>
          <w:sz w:val="24"/>
          <w:szCs w:val="24"/>
          <w:lang w:val="az-Latn-AZ"/>
        </w:rPr>
        <w:tab/>
        <w:t>24–26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cari istifadə/ mövcud istifadə</w:t>
      </w:r>
      <w:r w:rsidRPr="009C2EF2">
        <w:rPr>
          <w:rFonts w:ascii="Times New Roman" w:hAnsi="Times New Roman"/>
          <w:color w:val="231F20"/>
          <w:sz w:val="24"/>
          <w:szCs w:val="24"/>
          <w:lang w:val="az-Latn-AZ"/>
        </w:rPr>
        <w:tab/>
        <w:t>25</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məcburi satış</w:t>
      </w:r>
      <w:r w:rsidRPr="009C2EF2">
        <w:rPr>
          <w:rFonts w:ascii="Times New Roman" w:hAnsi="Times New Roman"/>
          <w:color w:val="231F20"/>
          <w:spacing w:val="1"/>
          <w:sz w:val="24"/>
          <w:szCs w:val="24"/>
          <w:lang w:val="az-Latn-AZ"/>
        </w:rPr>
        <w:tab/>
        <w:t>25–26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ən yaxşı və ən səmərəli istifadə</w:t>
      </w:r>
      <w:r w:rsidRPr="009C2EF2">
        <w:rPr>
          <w:rFonts w:ascii="Times New Roman" w:hAnsi="Times New Roman"/>
          <w:color w:val="231F20"/>
          <w:sz w:val="24"/>
          <w:szCs w:val="24"/>
          <w:lang w:val="az-Latn-AZ"/>
        </w:rPr>
        <w:tab/>
        <w:t>24</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nizamlı ləğvetmə</w:t>
      </w:r>
      <w:r w:rsidRPr="009C2EF2">
        <w:rPr>
          <w:rFonts w:ascii="Times New Roman" w:hAnsi="Times New Roman"/>
          <w:color w:val="231F20"/>
          <w:spacing w:val="1"/>
          <w:sz w:val="24"/>
          <w:szCs w:val="24"/>
          <w:lang w:val="az-Latn-AZ"/>
        </w:rPr>
        <w:tab/>
        <w:t>25</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sinerjilər</w:t>
      </w:r>
      <w:r w:rsidRPr="009C2EF2">
        <w:rPr>
          <w:rFonts w:ascii="Times New Roman" w:hAnsi="Times New Roman"/>
          <w:color w:val="231F20"/>
          <w:sz w:val="24"/>
          <w:szCs w:val="24"/>
          <w:lang w:val="az-Latn-AZ"/>
        </w:rPr>
        <w:tab/>
        <w:t>26–27</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xərci</w:t>
      </w:r>
      <w:r w:rsidRPr="009C2EF2">
        <w:rPr>
          <w:rFonts w:ascii="Times New Roman" w:hAnsi="Times New Roman"/>
          <w:color w:val="231F20"/>
          <w:sz w:val="24"/>
          <w:szCs w:val="24"/>
          <w:lang w:val="az-Latn-AZ"/>
        </w:rPr>
        <w:tab/>
        <w:t>28</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paket güzəştlər </w:t>
      </w:r>
      <w:r w:rsidRPr="009C2EF2">
        <w:rPr>
          <w:rFonts w:ascii="Times New Roman" w:hAnsi="Times New Roman"/>
          <w:color w:val="231F20"/>
          <w:spacing w:val="1"/>
          <w:sz w:val="24"/>
          <w:szCs w:val="24"/>
          <w:lang w:val="az-Latn-AZ"/>
        </w:rPr>
        <w:tab/>
        <w:t>36</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broker kotirovkaları</w:t>
      </w:r>
      <w:r w:rsidRPr="009C2EF2">
        <w:rPr>
          <w:rFonts w:ascii="Times New Roman" w:hAnsi="Times New Roman"/>
          <w:color w:val="231F20"/>
          <w:sz w:val="24"/>
          <w:szCs w:val="24"/>
          <w:lang w:val="az-Latn-AZ"/>
        </w:rPr>
        <w:tab/>
        <w:t>103–104</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 (BQS 200)</w:t>
      </w:r>
      <w:r w:rsidRPr="009C2EF2">
        <w:rPr>
          <w:rFonts w:ascii="Times New Roman" w:hAnsi="Times New Roman"/>
          <w:color w:val="231F20"/>
          <w:sz w:val="24"/>
          <w:szCs w:val="24"/>
          <w:lang w:val="az-Latn-AZ"/>
        </w:rPr>
        <w:tab/>
        <w:t>49–56</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53–56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biznes haqqında məlumat</w:t>
      </w:r>
      <w:r w:rsidRPr="009C2EF2">
        <w:rPr>
          <w:rFonts w:ascii="Times New Roman" w:hAnsi="Times New Roman"/>
          <w:color w:val="231F20"/>
          <w:sz w:val="24"/>
          <w:szCs w:val="24"/>
          <w:lang w:val="az-Latn-AZ"/>
        </w:rPr>
        <w:tab/>
        <w:t>54–55</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kapitalın strukturu</w:t>
      </w:r>
      <w:r w:rsidRPr="009C2EF2">
        <w:rPr>
          <w:rFonts w:ascii="Times New Roman" w:hAnsi="Times New Roman"/>
          <w:color w:val="231F20"/>
          <w:spacing w:val="1"/>
          <w:sz w:val="24"/>
          <w:szCs w:val="24"/>
          <w:lang w:val="az-Latn-AZ"/>
        </w:rPr>
        <w:tab/>
        <w:t>56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iqtisadi və sənaye</w:t>
      </w:r>
      <w:r w:rsidRPr="009C2EF2">
        <w:rPr>
          <w:rFonts w:ascii="Times New Roman" w:hAnsi="Times New Roman"/>
          <w:color w:val="231F20"/>
          <w:spacing w:val="1"/>
          <w:sz w:val="24"/>
          <w:szCs w:val="24"/>
          <w:lang w:val="az-Latn-AZ"/>
        </w:rPr>
        <w:tab/>
        <w:t>55</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və qeyri-əməliyyat aktivləri</w:t>
      </w:r>
      <w:r w:rsidRPr="009C2EF2">
        <w:rPr>
          <w:rFonts w:ascii="Times New Roman" w:hAnsi="Times New Roman"/>
          <w:color w:val="231F20"/>
          <w:sz w:val="24"/>
          <w:szCs w:val="24"/>
          <w:lang w:val="az-Latn-AZ"/>
        </w:rPr>
        <w:tab/>
        <w:t>55–56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mülkiyyət hüquqları</w:t>
      </w:r>
      <w:r w:rsidRPr="009C2EF2">
        <w:rPr>
          <w:rFonts w:ascii="Times New Roman" w:hAnsi="Times New Roman"/>
          <w:color w:val="231F20"/>
          <w:sz w:val="24"/>
          <w:szCs w:val="24"/>
          <w:lang w:val="az-Latn-AZ"/>
        </w:rPr>
        <w:tab/>
        <w:t>54</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 və metodları</w:t>
      </w:r>
      <w:r w:rsidRPr="009C2EF2">
        <w:rPr>
          <w:rFonts w:ascii="Times New Roman" w:hAnsi="Times New Roman"/>
          <w:color w:val="231F20"/>
          <w:sz w:val="24"/>
          <w:szCs w:val="24"/>
          <w:lang w:val="az-Latn-AZ"/>
        </w:rPr>
        <w:tab/>
        <w:t>50–53</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biznes haqqında məlumat</w:t>
      </w:r>
      <w:r w:rsidRPr="009C2EF2">
        <w:rPr>
          <w:rFonts w:ascii="Times New Roman" w:hAnsi="Times New Roman"/>
          <w:color w:val="231F20"/>
          <w:sz w:val="24"/>
          <w:szCs w:val="24"/>
          <w:lang w:val="az-Latn-AZ"/>
        </w:rPr>
        <w:tab/>
        <w:t>54–55</w:t>
      </w:r>
    </w:p>
    <w:p w:rsidR="00D02DD9" w:rsidRPr="009C2EF2" w:rsidRDefault="00D02DD9">
      <w:pPr>
        <w:pStyle w:val="a3"/>
        <w:kinsoku w:val="0"/>
        <w:overflowPunct w:val="0"/>
        <w:spacing w:before="10"/>
        <w:ind w:left="0"/>
        <w:rPr>
          <w:rFonts w:ascii="Times New Roman" w:hAnsi="Times New Roman"/>
          <w:sz w:val="24"/>
          <w:szCs w:val="24"/>
          <w:lang w:val="az-Latn-AZ"/>
        </w:rPr>
      </w:pPr>
    </w:p>
    <w:tbl>
      <w:tblPr>
        <w:tblW w:w="0" w:type="auto"/>
        <w:tblInd w:w="119" w:type="dxa"/>
        <w:tblLayout w:type="fixed"/>
        <w:tblCellMar>
          <w:left w:w="0" w:type="dxa"/>
          <w:right w:w="0" w:type="dxa"/>
        </w:tblCellMar>
        <w:tblLook w:val="04A0" w:firstRow="1" w:lastRow="0" w:firstColumn="1" w:lastColumn="0" w:noHBand="0" w:noVBand="1"/>
      </w:tblPr>
      <w:tblGrid>
        <w:gridCol w:w="4488"/>
        <w:gridCol w:w="2368"/>
      </w:tblGrid>
      <w:tr w:rsidR="00D02DD9" w:rsidRPr="009C2EF2">
        <w:trPr>
          <w:trHeight w:hRule="exact" w:val="563"/>
        </w:trPr>
        <w:tc>
          <w:tcPr>
            <w:tcW w:w="4488" w:type="dxa"/>
            <w:tcBorders>
              <w:top w:val="nil"/>
              <w:left w:val="nil"/>
              <w:bottom w:val="nil"/>
              <w:right w:val="nil"/>
            </w:tcBorders>
          </w:tcPr>
          <w:p w:rsidR="00D02DD9" w:rsidRPr="009C2EF2" w:rsidRDefault="003C64E0">
            <w:pPr>
              <w:pStyle w:val="TableParagraph"/>
              <w:kinsoku w:val="0"/>
              <w:overflowPunct w:val="0"/>
              <w:spacing w:before="69" w:line="274" w:lineRule="exact"/>
              <w:ind w:left="55"/>
              <w:rPr>
                <w:color w:val="000000"/>
                <w:sz w:val="24"/>
                <w:szCs w:val="24"/>
                <w:lang w:val="az-Latn-AZ"/>
              </w:rPr>
            </w:pPr>
            <w:r w:rsidRPr="009C2EF2">
              <w:rPr>
                <w:b/>
                <w:color w:val="231F20"/>
                <w:sz w:val="24"/>
                <w:szCs w:val="24"/>
                <w:lang w:val="az-Latn-AZ"/>
              </w:rPr>
              <w:t>C</w:t>
            </w:r>
          </w:p>
          <w:p w:rsidR="00D02DD9" w:rsidRPr="009C2EF2" w:rsidRDefault="003C64E0">
            <w:pPr>
              <w:pStyle w:val="TableParagraph"/>
              <w:kinsoku w:val="0"/>
              <w:overflowPunct w:val="0"/>
              <w:spacing w:line="205" w:lineRule="exact"/>
              <w:ind w:left="55"/>
              <w:rPr>
                <w:sz w:val="24"/>
                <w:szCs w:val="24"/>
                <w:lang w:val="az-Latn-AZ"/>
              </w:rPr>
            </w:pPr>
            <w:r w:rsidRPr="009C2EF2">
              <w:rPr>
                <w:color w:val="231F20"/>
                <w:spacing w:val="1"/>
                <w:sz w:val="24"/>
                <w:szCs w:val="24"/>
                <w:lang w:val="az-Latn-AZ"/>
              </w:rPr>
              <w:t>kapital strukturu ilə bağlı mülahizələr</w:t>
            </w:r>
          </w:p>
        </w:tc>
        <w:tc>
          <w:tcPr>
            <w:tcW w:w="2368" w:type="dxa"/>
            <w:tcBorders>
              <w:top w:val="nil"/>
              <w:left w:val="nil"/>
              <w:bottom w:val="nil"/>
              <w:right w:val="nil"/>
            </w:tcBorders>
          </w:tcPr>
          <w:p w:rsidR="00D02DD9" w:rsidRPr="009C2EF2" w:rsidRDefault="00D02DD9">
            <w:pPr>
              <w:pStyle w:val="TableParagraph"/>
              <w:kinsoku w:val="0"/>
              <w:overflowPunct w:val="0"/>
              <w:rPr>
                <w:sz w:val="24"/>
                <w:szCs w:val="24"/>
                <w:lang w:val="az-Latn-AZ"/>
              </w:rPr>
            </w:pPr>
          </w:p>
          <w:p w:rsidR="00D02DD9" w:rsidRPr="009C2EF2" w:rsidRDefault="003C64E0">
            <w:pPr>
              <w:pStyle w:val="TableParagraph"/>
              <w:kinsoku w:val="0"/>
              <w:overflowPunct w:val="0"/>
              <w:spacing w:before="134"/>
              <w:ind w:right="53"/>
              <w:jc w:val="right"/>
              <w:rPr>
                <w:sz w:val="24"/>
                <w:szCs w:val="24"/>
                <w:lang w:val="az-Latn-AZ"/>
              </w:rPr>
            </w:pPr>
            <w:r w:rsidRPr="009C2EF2">
              <w:rPr>
                <w:color w:val="231F20"/>
                <w:spacing w:val="1"/>
                <w:sz w:val="24"/>
                <w:szCs w:val="24"/>
                <w:lang w:val="az-Latn-AZ"/>
              </w:rPr>
              <w:t>56</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kapitallaşma dərəcəsi</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1"/>
                <w:sz w:val="24"/>
                <w:szCs w:val="24"/>
                <w:lang w:val="az-Latn-AZ"/>
              </w:rPr>
              <w:t>52</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pacing w:val="1"/>
                <w:sz w:val="24"/>
                <w:szCs w:val="24"/>
                <w:lang w:val="az-Latn-AZ"/>
              </w:rPr>
              <w:t>pul axını</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5"/>
                <w:sz w:val="24"/>
                <w:szCs w:val="24"/>
                <w:lang w:val="az-Latn-AZ"/>
              </w:rPr>
              <w:t>38–40</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işin əhatə dairəsinə dəyişikliklər</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8"/>
                <w:w w:val="95"/>
                <w:sz w:val="24"/>
                <w:szCs w:val="24"/>
                <w:lang w:val="az-Latn-AZ"/>
              </w:rPr>
              <w:t>11</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müştəri</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3, 10</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girov</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106</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pacing w:val="1"/>
                <w:sz w:val="24"/>
                <w:szCs w:val="24"/>
                <w:lang w:val="az-Latn-AZ"/>
              </w:rPr>
              <w:t>müqayisə edilə bilən siyahılar metodu</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w w:val="95"/>
                <w:sz w:val="24"/>
                <w:szCs w:val="24"/>
                <w:lang w:val="az-Latn-AZ"/>
              </w:rPr>
              <w:t>32</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pacing w:val="1"/>
                <w:sz w:val="24"/>
                <w:szCs w:val="24"/>
                <w:lang w:val="az-Latn-AZ"/>
              </w:rPr>
              <w:t>müqayisə edilə bilən əməliyyat metodu</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31–33</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səriştə</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7</w:t>
            </w:r>
          </w:p>
        </w:tc>
      </w:tr>
      <w:tr w:rsidR="00D02DD9" w:rsidRPr="009C2EF2">
        <w:trPr>
          <w:trHeight w:hRule="exact" w:val="216"/>
        </w:trPr>
        <w:tc>
          <w:tcPr>
            <w:tcW w:w="4488"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hazır əmlakın dəyəri</w:t>
            </w:r>
          </w:p>
        </w:tc>
        <w:tc>
          <w:tcPr>
            <w:tcW w:w="2368"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4"/>
                <w:sz w:val="24"/>
                <w:szCs w:val="24"/>
                <w:lang w:val="az-Latn-AZ"/>
              </w:rPr>
              <w:t>93–94</w:t>
            </w:r>
          </w:p>
        </w:tc>
      </w:tr>
      <w:tr w:rsidR="00D02DD9" w:rsidRPr="009C2EF2">
        <w:trPr>
          <w:trHeight w:hRule="exact" w:val="194"/>
        </w:trPr>
        <w:tc>
          <w:tcPr>
            <w:tcW w:w="4488" w:type="dxa"/>
            <w:tcBorders>
              <w:top w:val="nil"/>
              <w:left w:val="nil"/>
              <w:bottom w:val="nil"/>
              <w:right w:val="nil"/>
            </w:tcBorders>
          </w:tcPr>
          <w:p w:rsidR="00D02DD9" w:rsidRPr="009C2EF2" w:rsidRDefault="003C64E0">
            <w:pPr>
              <w:pStyle w:val="TableParagraph"/>
              <w:kinsoku w:val="0"/>
              <w:overflowPunct w:val="0"/>
              <w:spacing w:line="194" w:lineRule="exact"/>
              <w:ind w:left="55"/>
              <w:rPr>
                <w:sz w:val="24"/>
                <w:szCs w:val="24"/>
                <w:lang w:val="az-Latn-AZ"/>
              </w:rPr>
            </w:pPr>
            <w:r w:rsidRPr="009C2EF2">
              <w:rPr>
                <w:color w:val="231F20"/>
                <w:spacing w:val="1"/>
                <w:sz w:val="24"/>
                <w:szCs w:val="24"/>
                <w:lang w:val="az-Latn-AZ"/>
              </w:rPr>
              <w:t>standartlara uyğunluq</w:t>
            </w:r>
          </w:p>
        </w:tc>
        <w:tc>
          <w:tcPr>
            <w:tcW w:w="2368" w:type="dxa"/>
            <w:tcBorders>
              <w:top w:val="nil"/>
              <w:left w:val="nil"/>
              <w:bottom w:val="nil"/>
              <w:right w:val="nil"/>
            </w:tcBorders>
          </w:tcPr>
          <w:p w:rsidR="00D02DD9" w:rsidRPr="009C2EF2" w:rsidRDefault="003C64E0">
            <w:pPr>
              <w:pStyle w:val="TableParagraph"/>
              <w:kinsoku w:val="0"/>
              <w:overflowPunct w:val="0"/>
              <w:spacing w:line="194" w:lineRule="exact"/>
              <w:ind w:right="53"/>
              <w:jc w:val="right"/>
              <w:rPr>
                <w:sz w:val="24"/>
                <w:szCs w:val="24"/>
                <w:lang w:val="az-Latn-AZ"/>
              </w:rPr>
            </w:pPr>
            <w:r w:rsidRPr="009C2EF2">
              <w:rPr>
                <w:color w:val="231F20"/>
                <w:sz w:val="24"/>
                <w:szCs w:val="24"/>
                <w:lang w:val="az-Latn-AZ"/>
              </w:rPr>
              <w:t>6</w:t>
            </w:r>
          </w:p>
        </w:tc>
      </w:tr>
    </w:tbl>
    <w:p w:rsidR="00D02DD9" w:rsidRPr="009C2EF2" w:rsidRDefault="0075026C">
      <w:pPr>
        <w:pStyle w:val="a3"/>
        <w:kinsoku w:val="0"/>
        <w:overflowPunct w:val="0"/>
        <w:spacing w:before="17"/>
        <w:ind w:left="740"/>
        <w:rPr>
          <w:rFonts w:ascii="Times New Roman" w:hAnsi="Times New Roman"/>
          <w:color w:val="000000"/>
          <w:sz w:val="24"/>
          <w:szCs w:val="24"/>
          <w:lang w:val="az-Latn-AZ"/>
        </w:rPr>
      </w:pPr>
      <w:r w:rsidRPr="009C2EF2">
        <w:rPr>
          <w:rFonts w:ascii="Times New Roman" w:hAnsi="Times New Roman"/>
          <w:noProof/>
          <w:sz w:val="24"/>
          <w:szCs w:val="24"/>
          <w:lang w:val="ru-RU" w:eastAsia="ru-RU"/>
        </w:rPr>
        <mc:AlternateContent>
          <mc:Choice Requires="wps">
            <w:drawing>
              <wp:anchor distT="0" distB="0" distL="114300" distR="114300" simplePos="0" relativeHeight="251648512" behindDoc="0" locked="0" layoutInCell="0" allowOverlap="1">
                <wp:simplePos x="0" y="0"/>
                <wp:positionH relativeFrom="page">
                  <wp:posOffset>5306695</wp:posOffset>
                </wp:positionH>
                <wp:positionV relativeFrom="paragraph">
                  <wp:posOffset>-768985</wp:posOffset>
                </wp:positionV>
                <wp:extent cx="152400" cy="353695"/>
                <wp:effectExtent l="0" t="0" r="0" b="0"/>
                <wp:wrapNone/>
                <wp:docPr id="3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47" type="#_x0000_t202" style="position:absolute;left:0;text-align:left;margin-left:417.85pt;margin-top:-60.55pt;width:12pt;height:27.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NwsAIAALQFAAAOAAAAZHJzL2Uyb0RvYy54bWysVG1vmzAQ/j5p/8Hyd8pLgAZ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" o:allowincell="f" filled="f" stroked="f">
                <v:textbox style="layout-flow:vertical"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 xml:space="preserve">həmçinin, </w:t>
      </w:r>
      <w:r w:rsidR="003C64E0" w:rsidRPr="009C2EF2">
        <w:rPr>
          <w:rFonts w:ascii="Times New Roman" w:hAnsi="Times New Roman"/>
          <w:i/>
          <w:color w:val="231F20"/>
          <w:sz w:val="24"/>
          <w:szCs w:val="24"/>
          <w:lang w:val="az-Latn-AZ"/>
        </w:rPr>
        <w:t>bax</w:t>
      </w:r>
      <w:r w:rsidR="003C64E0" w:rsidRPr="009C2EF2">
        <w:rPr>
          <w:rFonts w:ascii="Times New Roman" w:hAnsi="Times New Roman"/>
          <w:color w:val="231F20"/>
          <w:sz w:val="24"/>
          <w:szCs w:val="24"/>
          <w:lang w:val="az-Latn-AZ"/>
        </w:rPr>
        <w:t>: Tədqiqatlar və Uyğunluq (BQS 102)</w:t>
      </w:r>
    </w:p>
    <w:p w:rsidR="00D02DD9" w:rsidRPr="009C2EF2" w:rsidRDefault="003C64E0">
      <w:pPr>
        <w:pStyle w:val="a3"/>
        <w:tabs>
          <w:tab w:val="left" w:pos="6619"/>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razılıq əsasında qiymətqoyma xidmətləri</w:t>
      </w:r>
      <w:r w:rsidRPr="009C2EF2">
        <w:rPr>
          <w:rFonts w:ascii="Times New Roman" w:hAnsi="Times New Roman"/>
          <w:color w:val="231F20"/>
          <w:sz w:val="24"/>
          <w:szCs w:val="24"/>
          <w:lang w:val="az-Latn-AZ"/>
        </w:rPr>
        <w:tab/>
        <w:t>104</w:t>
      </w:r>
    </w:p>
    <w:p w:rsidR="00D02DD9" w:rsidRPr="009C2EF2" w:rsidRDefault="003C64E0">
      <w:pPr>
        <w:pStyle w:val="a3"/>
        <w:tabs>
          <w:tab w:val="left" w:pos="6731"/>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sabit artım modeli</w:t>
      </w:r>
      <w:r w:rsidRPr="009C2EF2">
        <w:rPr>
          <w:rFonts w:ascii="Times New Roman" w:hAnsi="Times New Roman"/>
          <w:color w:val="231F20"/>
          <w:sz w:val="24"/>
          <w:szCs w:val="24"/>
          <w:lang w:val="az-Latn-AZ"/>
        </w:rPr>
        <w:tab/>
        <w:t>41</w:t>
      </w:r>
    </w:p>
    <w:p w:rsidR="00D02DD9" w:rsidRPr="009C2EF2" w:rsidRDefault="003C64E0">
      <w:pPr>
        <w:pStyle w:val="a3"/>
        <w:tabs>
          <w:tab w:val="left" w:pos="6714"/>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tikinti xərcləri</w:t>
      </w:r>
      <w:r w:rsidRPr="009C2EF2">
        <w:rPr>
          <w:rFonts w:ascii="Times New Roman" w:hAnsi="Times New Roman"/>
          <w:color w:val="231F20"/>
          <w:spacing w:val="1"/>
          <w:sz w:val="24"/>
          <w:szCs w:val="24"/>
          <w:lang w:val="az-Latn-AZ"/>
        </w:rPr>
        <w:tab/>
        <w:t>94</w:t>
      </w:r>
    </w:p>
    <w:p w:rsidR="00D02DD9" w:rsidRPr="009C2EF2" w:rsidRDefault="003C64E0">
      <w:pPr>
        <w:pStyle w:val="a3"/>
        <w:tabs>
          <w:tab w:val="left" w:pos="6714"/>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məsləhətçilərin əməkhaqları</w:t>
      </w:r>
      <w:r w:rsidRPr="009C2EF2">
        <w:rPr>
          <w:rFonts w:ascii="Times New Roman" w:hAnsi="Times New Roman"/>
          <w:color w:val="231F20"/>
          <w:sz w:val="24"/>
          <w:szCs w:val="24"/>
          <w:lang w:val="az-Latn-AZ"/>
        </w:rPr>
        <w:tab/>
        <w:t>94</w:t>
      </w:r>
    </w:p>
    <w:p w:rsidR="00D02DD9" w:rsidRPr="009C2EF2" w:rsidRDefault="003C64E0">
      <w:pPr>
        <w:pStyle w:val="a3"/>
        <w:tabs>
          <w:tab w:val="left" w:pos="6105"/>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torpaq rentası</w:t>
      </w:r>
      <w:r w:rsidRPr="009C2EF2">
        <w:rPr>
          <w:rFonts w:ascii="Times New Roman" w:hAnsi="Times New Roman"/>
          <w:color w:val="231F20"/>
          <w:spacing w:val="1"/>
          <w:sz w:val="24"/>
          <w:szCs w:val="24"/>
          <w:lang w:val="az-Latn-AZ"/>
        </w:rPr>
        <w:tab/>
        <w:t>21, 86–87</w:t>
      </w:r>
    </w:p>
    <w:p w:rsidR="00D02DD9" w:rsidRPr="009C2EF2" w:rsidRDefault="003C64E0">
      <w:pPr>
        <w:pStyle w:val="a3"/>
        <w:tabs>
          <w:tab w:val="left" w:pos="6717"/>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köməkçi aktiv üzrə öhdəlik (CAC)</w:t>
      </w:r>
      <w:r w:rsidRPr="009C2EF2">
        <w:rPr>
          <w:rFonts w:ascii="Times New Roman" w:hAnsi="Times New Roman"/>
          <w:color w:val="231F20"/>
          <w:spacing w:val="1"/>
          <w:sz w:val="24"/>
          <w:szCs w:val="24"/>
          <w:lang w:val="az-Latn-AZ"/>
        </w:rPr>
        <w:tab/>
        <w:t>63</w:t>
      </w:r>
    </w:p>
    <w:p w:rsidR="00D02DD9" w:rsidRPr="009C2EF2" w:rsidRDefault="003C64E0">
      <w:pPr>
        <w:pStyle w:val="a3"/>
        <w:tabs>
          <w:tab w:val="left" w:pos="6415"/>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köməkçi aktivlər</w:t>
      </w:r>
      <w:r w:rsidRPr="009C2EF2">
        <w:rPr>
          <w:rFonts w:ascii="Times New Roman" w:hAnsi="Times New Roman"/>
          <w:color w:val="231F20"/>
          <w:spacing w:val="1"/>
          <w:sz w:val="24"/>
          <w:szCs w:val="24"/>
          <w:lang w:val="az-Latn-AZ"/>
        </w:rPr>
        <w:tab/>
        <w:t>62, 63</w:t>
      </w:r>
    </w:p>
    <w:p w:rsidR="00D02DD9" w:rsidRPr="009C2EF2" w:rsidRDefault="003C64E0">
      <w:pPr>
        <w:pStyle w:val="a3"/>
        <w:tabs>
          <w:tab w:val="left" w:pos="6218"/>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nəzarət mühiti</w:t>
      </w:r>
      <w:r w:rsidRPr="009C2EF2">
        <w:rPr>
          <w:rFonts w:ascii="Times New Roman" w:hAnsi="Times New Roman"/>
          <w:color w:val="231F20"/>
          <w:spacing w:val="1"/>
          <w:sz w:val="24"/>
          <w:szCs w:val="24"/>
          <w:lang w:val="az-Latn-AZ"/>
        </w:rPr>
        <w:tab/>
        <w:t>106–107</w:t>
      </w:r>
    </w:p>
    <w:p w:rsidR="00D02DD9" w:rsidRPr="009C2EF2" w:rsidRDefault="003C64E0">
      <w:pPr>
        <w:pStyle w:val="a3"/>
        <w:tabs>
          <w:tab w:val="left" w:pos="6087"/>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nəzarətə görə mükafatlar</w:t>
      </w:r>
      <w:r w:rsidRPr="009C2EF2">
        <w:rPr>
          <w:rFonts w:ascii="Times New Roman" w:hAnsi="Times New Roman"/>
          <w:color w:val="231F20"/>
          <w:spacing w:val="1"/>
          <w:sz w:val="24"/>
          <w:szCs w:val="24"/>
          <w:lang w:val="az-Latn-AZ"/>
        </w:rPr>
        <w:tab/>
        <w:t>35–36, 54</w:t>
      </w:r>
    </w:p>
    <w:p w:rsidR="00D02DD9" w:rsidRPr="009C2EF2" w:rsidRDefault="003C64E0">
      <w:pPr>
        <w:pStyle w:val="a3"/>
        <w:tabs>
          <w:tab w:val="left" w:pos="6414"/>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yanaşması</w:t>
      </w:r>
      <w:r w:rsidRPr="009C2EF2">
        <w:rPr>
          <w:rFonts w:ascii="Times New Roman" w:hAnsi="Times New Roman"/>
          <w:color w:val="231F20"/>
          <w:spacing w:val="1"/>
          <w:sz w:val="24"/>
          <w:szCs w:val="24"/>
          <w:lang w:val="az-Latn-AZ"/>
        </w:rPr>
        <w:tab/>
        <w:t>42–47</w:t>
      </w:r>
    </w:p>
    <w:p w:rsidR="00D02DD9" w:rsidRPr="009C2EF2" w:rsidRDefault="003C64E0">
      <w:pPr>
        <w:pStyle w:val="a3"/>
        <w:tabs>
          <w:tab w:val="left" w:pos="6398"/>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lastRenderedPageBreak/>
        <w:t>uyğunlaşdırmalar</w:t>
      </w:r>
      <w:r w:rsidRPr="009C2EF2">
        <w:rPr>
          <w:rFonts w:ascii="Times New Roman" w:hAnsi="Times New Roman"/>
          <w:color w:val="231F20"/>
          <w:w w:val="95"/>
          <w:sz w:val="24"/>
          <w:szCs w:val="24"/>
          <w:lang w:val="az-Latn-AZ"/>
        </w:rPr>
        <w:tab/>
        <w:t>45–47</w:t>
      </w:r>
    </w:p>
    <w:p w:rsidR="00D02DD9" w:rsidRPr="009C2EF2" w:rsidRDefault="003C64E0">
      <w:pPr>
        <w:pStyle w:val="a3"/>
        <w:tabs>
          <w:tab w:val="left" w:pos="6716"/>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53</w:t>
      </w:r>
    </w:p>
    <w:p w:rsidR="00D02DD9" w:rsidRPr="009C2EF2" w:rsidRDefault="003C64E0">
      <w:pPr>
        <w:pStyle w:val="a3"/>
        <w:tabs>
          <w:tab w:val="left" w:pos="6412"/>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91–92</w:t>
      </w:r>
    </w:p>
    <w:p w:rsidR="00D02DD9" w:rsidRPr="009C2EF2" w:rsidRDefault="003C64E0">
      <w:pPr>
        <w:pStyle w:val="a3"/>
        <w:tabs>
          <w:tab w:val="left" w:pos="6622"/>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103</w:t>
      </w:r>
    </w:p>
    <w:p w:rsidR="00D02DD9" w:rsidRPr="009C2EF2" w:rsidRDefault="003C64E0">
      <w:pPr>
        <w:pStyle w:val="a3"/>
        <w:tabs>
          <w:tab w:val="left" w:pos="639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68–69</w:t>
      </w:r>
    </w:p>
    <w:p w:rsidR="00D02DD9" w:rsidRPr="009C2EF2" w:rsidRDefault="003C64E0">
      <w:pPr>
        <w:pStyle w:val="a3"/>
        <w:tabs>
          <w:tab w:val="left" w:pos="6396"/>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78–80</w:t>
      </w:r>
    </w:p>
    <w:p w:rsidR="00D02DD9" w:rsidRPr="009C2EF2" w:rsidRDefault="003C64E0">
      <w:pPr>
        <w:pStyle w:val="a3"/>
        <w:tabs>
          <w:tab w:val="left" w:pos="6716"/>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85</w:t>
      </w:r>
    </w:p>
    <w:p w:rsidR="00D02DD9" w:rsidRPr="009C2EF2" w:rsidRDefault="003C64E0">
      <w:pPr>
        <w:pStyle w:val="a3"/>
        <w:tabs>
          <w:tab w:val="left" w:pos="6399"/>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yanaşması metodları</w:t>
      </w:r>
      <w:r w:rsidRPr="009C2EF2">
        <w:rPr>
          <w:rFonts w:ascii="Times New Roman" w:hAnsi="Times New Roman"/>
          <w:color w:val="231F20"/>
          <w:spacing w:val="1"/>
          <w:sz w:val="24"/>
          <w:szCs w:val="24"/>
          <w:lang w:val="az-Latn-AZ"/>
        </w:rPr>
        <w:tab/>
        <w:t>43–47</w:t>
      </w:r>
    </w:p>
    <w:p w:rsidR="00D02DD9" w:rsidRPr="009C2EF2" w:rsidRDefault="003C64E0">
      <w:pPr>
        <w:pStyle w:val="a3"/>
        <w:tabs>
          <w:tab w:val="left" w:pos="6394"/>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və potensial nisbəti metodu</w:t>
      </w:r>
      <w:r w:rsidRPr="009C2EF2">
        <w:rPr>
          <w:rFonts w:ascii="Times New Roman" w:hAnsi="Times New Roman"/>
          <w:color w:val="231F20"/>
          <w:spacing w:val="1"/>
          <w:sz w:val="24"/>
          <w:szCs w:val="24"/>
          <w:lang w:val="az-Latn-AZ"/>
        </w:rPr>
        <w:tab/>
        <w:t>79–80</w:t>
      </w:r>
    </w:p>
    <w:p w:rsidR="00D02DD9" w:rsidRPr="009C2EF2" w:rsidRDefault="003C64E0">
      <w:pPr>
        <w:pStyle w:val="a3"/>
        <w:tabs>
          <w:tab w:val="left" w:pos="6714"/>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əvəzetmə xərci</w:t>
      </w:r>
      <w:r w:rsidRPr="009C2EF2">
        <w:rPr>
          <w:rFonts w:ascii="Times New Roman" w:hAnsi="Times New Roman"/>
          <w:color w:val="231F20"/>
          <w:sz w:val="24"/>
          <w:szCs w:val="24"/>
          <w:lang w:val="az-Latn-AZ"/>
        </w:rPr>
        <w:tab/>
        <w:t>44</w:t>
      </w:r>
    </w:p>
    <w:p w:rsidR="00D02DD9" w:rsidRPr="009C2EF2" w:rsidRDefault="003C64E0">
      <w:pPr>
        <w:pStyle w:val="a3"/>
        <w:tabs>
          <w:tab w:val="left" w:pos="6714"/>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təkrar istehsal xərci</w:t>
      </w:r>
      <w:r w:rsidRPr="009C2EF2">
        <w:rPr>
          <w:rFonts w:ascii="Times New Roman" w:hAnsi="Times New Roman"/>
          <w:color w:val="231F20"/>
          <w:sz w:val="24"/>
          <w:szCs w:val="24"/>
          <w:lang w:val="az-Latn-AZ"/>
        </w:rPr>
        <w:tab/>
        <w:t>44</w:t>
      </w:r>
    </w:p>
    <w:p w:rsidR="00D02DD9" w:rsidRPr="009C2EF2" w:rsidRDefault="003C64E0">
      <w:pPr>
        <w:pStyle w:val="a3"/>
        <w:tabs>
          <w:tab w:val="left" w:pos="639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toplama metodu</w:t>
      </w:r>
      <w:r w:rsidRPr="009C2EF2">
        <w:rPr>
          <w:rFonts w:ascii="Times New Roman" w:hAnsi="Times New Roman"/>
          <w:color w:val="231F20"/>
          <w:sz w:val="24"/>
          <w:szCs w:val="24"/>
          <w:lang w:val="az-Latn-AZ"/>
        </w:rPr>
        <w:tab/>
        <w:t>44–45</w:t>
      </w: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3332" w:right="4119"/>
        <w:jc w:val="center"/>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109</w:t>
      </w:r>
    </w:p>
    <w:p w:rsidR="00D02DD9" w:rsidRPr="009C2EF2" w:rsidRDefault="00D02DD9">
      <w:pPr>
        <w:pStyle w:val="a3"/>
        <w:kinsoku w:val="0"/>
        <w:overflowPunct w:val="0"/>
        <w:spacing w:before="80"/>
        <w:ind w:left="3332" w:right="4119"/>
        <w:jc w:val="center"/>
        <w:rPr>
          <w:rFonts w:ascii="Times New Roman" w:hAnsi="Times New Roman"/>
          <w:color w:val="000000"/>
          <w:sz w:val="24"/>
          <w:szCs w:val="24"/>
          <w:lang w:val="az-Latn-AZ"/>
        </w:rPr>
        <w:sectPr w:rsidR="00D02DD9" w:rsidRPr="009C2EF2">
          <w:footerReference w:type="default" r:id="rId115"/>
          <w:pgSz w:w="8850" w:h="13270"/>
          <w:pgMar w:top="0" w:right="0" w:bottom="0" w:left="960" w:header="0" w:footer="0" w:gutter="0"/>
          <w:cols w:space="720" w:equalWidth="0">
            <w:col w:w="789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8320" behindDoc="1" locked="0" layoutInCell="0" allowOverlap="1">
                <wp:simplePos x="0" y="0"/>
                <wp:positionH relativeFrom="page">
                  <wp:posOffset>0</wp:posOffset>
                </wp:positionH>
                <wp:positionV relativeFrom="page">
                  <wp:posOffset>0</wp:posOffset>
                </wp:positionV>
                <wp:extent cx="432435" cy="8424545"/>
                <wp:effectExtent l="0" t="0" r="0" b="0"/>
                <wp:wrapNone/>
                <wp:docPr id="32"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1905CD" id="Freeform 237" o:spid="_x0000_s1026" style="position:absolute;margin-left:0;margin-top:0;width:34.05pt;height:663.3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79"/>
        <w:ind w:left="3132"/>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tabs>
          <w:tab w:val="right" w:pos="7710"/>
        </w:tabs>
        <w:kinsoku w:val="0"/>
        <w:overflowPunct w:val="0"/>
        <w:spacing w:before="77"/>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və potensial nisbəti metodu</w:t>
      </w:r>
      <w:r w:rsidRPr="009C2EF2">
        <w:rPr>
          <w:rFonts w:ascii="Times New Roman" w:hAnsi="Times New Roman"/>
          <w:color w:val="231F20"/>
          <w:spacing w:val="1"/>
          <w:sz w:val="24"/>
          <w:szCs w:val="24"/>
          <w:lang w:val="az-Latn-AZ"/>
        </w:rPr>
        <w:tab/>
        <w:t>79–80</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 xml:space="preserve">kontragent riski </w:t>
      </w:r>
      <w:r w:rsidRPr="009C2EF2">
        <w:rPr>
          <w:rFonts w:ascii="Times New Roman" w:hAnsi="Times New Roman"/>
          <w:color w:val="231F20"/>
          <w:spacing w:val="1"/>
          <w:sz w:val="24"/>
          <w:szCs w:val="24"/>
          <w:lang w:val="az-Latn-AZ"/>
        </w:rPr>
        <w:tab/>
        <w:t>104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riskinin tənzimlənməsi</w:t>
      </w:r>
      <w:r w:rsidRPr="009C2EF2">
        <w:rPr>
          <w:rFonts w:ascii="Times New Roman" w:hAnsi="Times New Roman"/>
          <w:color w:val="231F20"/>
          <w:sz w:val="24"/>
          <w:szCs w:val="24"/>
          <w:lang w:val="az-Latn-AZ"/>
        </w:rPr>
        <w:tab/>
        <w:t>104–106</w:t>
      </w:r>
    </w:p>
    <w:p w:rsidR="00D02DD9" w:rsidRPr="009C2EF2" w:rsidRDefault="003C64E0">
      <w:pPr>
        <w:pStyle w:val="a3"/>
        <w:tabs>
          <w:tab w:val="left" w:pos="6891"/>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valyuta</w:t>
      </w:r>
      <w:r w:rsidRPr="009C2EF2">
        <w:rPr>
          <w:rFonts w:ascii="Times New Roman" w:hAnsi="Times New Roman"/>
          <w:color w:val="231F20"/>
          <w:spacing w:val="1"/>
          <w:sz w:val="24"/>
          <w:szCs w:val="24"/>
          <w:lang w:val="az-Latn-AZ"/>
        </w:rPr>
        <w:tab/>
        <w:t>10, 38–39</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cari istifadə</w:t>
      </w:r>
      <w:r w:rsidRPr="009C2EF2">
        <w:rPr>
          <w:rFonts w:ascii="Times New Roman" w:hAnsi="Times New Roman"/>
          <w:color w:val="231F20"/>
          <w:sz w:val="24"/>
          <w:szCs w:val="24"/>
          <w:lang w:val="az-Latn-AZ"/>
        </w:rPr>
        <w:tab/>
        <w:t>25</w:t>
      </w:r>
    </w:p>
    <w:p w:rsidR="00D02DD9" w:rsidRPr="009C2EF2" w:rsidRDefault="003C64E0">
      <w:pPr>
        <w:pStyle w:val="Heading21"/>
        <w:kinsoku w:val="0"/>
        <w:overflowPunct w:val="0"/>
        <w:spacing w:before="312"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D</w:t>
      </w:r>
    </w:p>
    <w:p w:rsidR="00D02DD9" w:rsidRPr="009C2EF2" w:rsidRDefault="003C64E0">
      <w:pPr>
        <w:pStyle w:val="a3"/>
        <w:tabs>
          <w:tab w:val="right" w:pos="7710"/>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öhdəliyin icra edilməməsinə görə zəmanət</w:t>
      </w:r>
      <w:r w:rsidRPr="009C2EF2">
        <w:rPr>
          <w:rFonts w:ascii="Times New Roman" w:hAnsi="Times New Roman"/>
          <w:color w:val="231F20"/>
          <w:sz w:val="24"/>
          <w:szCs w:val="24"/>
          <w:lang w:val="az-Latn-AZ"/>
        </w:rPr>
        <w:tab/>
        <w:t>105</w:t>
      </w:r>
    </w:p>
    <w:p w:rsidR="00D02DD9" w:rsidRPr="009C2EF2" w:rsidRDefault="003C64E0">
      <w:pPr>
        <w:pStyle w:val="a3"/>
        <w:tabs>
          <w:tab w:val="left" w:pos="7055"/>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kənarlaşmalar</w:t>
      </w:r>
      <w:r w:rsidRPr="009C2EF2">
        <w:rPr>
          <w:rFonts w:ascii="Times New Roman" w:hAnsi="Times New Roman"/>
          <w:color w:val="231F20"/>
          <w:w w:val="95"/>
          <w:sz w:val="24"/>
          <w:szCs w:val="24"/>
          <w:lang w:val="az-Latn-AZ"/>
        </w:rPr>
        <w:tab/>
        <w:t>7, 11, 13</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qiymətdəndüşmə</w:t>
      </w:r>
      <w:r w:rsidRPr="009C2EF2">
        <w:rPr>
          <w:rFonts w:ascii="Times New Roman" w:hAnsi="Times New Roman"/>
          <w:color w:val="231F20"/>
          <w:spacing w:val="1"/>
          <w:sz w:val="24"/>
          <w:szCs w:val="24"/>
          <w:lang w:val="az-Latn-AZ"/>
        </w:rPr>
        <w:tab/>
        <w:t>46–47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üzrə mənfəət</w:t>
      </w:r>
      <w:r w:rsidRPr="009C2EF2">
        <w:rPr>
          <w:rFonts w:ascii="Times New Roman" w:hAnsi="Times New Roman"/>
          <w:color w:val="231F20"/>
          <w:sz w:val="24"/>
          <w:szCs w:val="24"/>
          <w:lang w:val="az-Latn-AZ"/>
        </w:rPr>
        <w:tab/>
        <w:t>95–96</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 (BQS 410)</w:t>
      </w:r>
      <w:r w:rsidRPr="009C2EF2">
        <w:rPr>
          <w:rFonts w:ascii="Times New Roman" w:hAnsi="Times New Roman"/>
          <w:color w:val="231F20"/>
          <w:sz w:val="24"/>
          <w:szCs w:val="24"/>
          <w:lang w:val="az-Latn-AZ"/>
        </w:rPr>
        <w:tab/>
        <w:t>88–98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ehtimallar və xüsusi ehtimallar</w:t>
      </w:r>
      <w:r w:rsidRPr="009C2EF2">
        <w:rPr>
          <w:rFonts w:ascii="Times New Roman" w:hAnsi="Times New Roman"/>
          <w:color w:val="231F20"/>
          <w:sz w:val="24"/>
          <w:szCs w:val="24"/>
          <w:lang w:val="az-Latn-AZ"/>
        </w:rPr>
        <w:tab/>
        <w:t>89–90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92–98</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hazır əmlakın dəyəri</w:t>
      </w:r>
      <w:r w:rsidRPr="009C2EF2">
        <w:rPr>
          <w:rFonts w:ascii="Times New Roman" w:hAnsi="Times New Roman"/>
          <w:color w:val="231F20"/>
          <w:sz w:val="24"/>
          <w:szCs w:val="24"/>
          <w:lang w:val="az-Latn-AZ"/>
        </w:rPr>
        <w:tab/>
        <w:t>93–94</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tikinti xərcləri</w:t>
      </w:r>
      <w:r w:rsidRPr="009C2EF2">
        <w:rPr>
          <w:rFonts w:ascii="Times New Roman" w:hAnsi="Times New Roman"/>
          <w:color w:val="231F20"/>
          <w:spacing w:val="1"/>
          <w:sz w:val="24"/>
          <w:szCs w:val="24"/>
          <w:lang w:val="az-Latn-AZ"/>
        </w:rPr>
        <w:tab/>
        <w:t>94</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məsləhətçilərin əməkhaqları</w:t>
      </w:r>
      <w:r w:rsidRPr="009C2EF2">
        <w:rPr>
          <w:rFonts w:ascii="Times New Roman" w:hAnsi="Times New Roman"/>
          <w:color w:val="231F20"/>
          <w:sz w:val="24"/>
          <w:szCs w:val="24"/>
          <w:lang w:val="az-Latn-AZ"/>
        </w:rPr>
        <w:tab/>
        <w:t>94</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üzrə mənfəət</w:t>
      </w:r>
      <w:r w:rsidRPr="009C2EF2">
        <w:rPr>
          <w:rFonts w:ascii="Times New Roman" w:hAnsi="Times New Roman"/>
          <w:color w:val="231F20"/>
          <w:sz w:val="24"/>
          <w:szCs w:val="24"/>
          <w:lang w:val="az-Latn-AZ"/>
        </w:rPr>
        <w:tab/>
        <w:t>95–96</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diskont faiz dərəcəsi</w:t>
      </w:r>
      <w:r w:rsidRPr="009C2EF2">
        <w:rPr>
          <w:rFonts w:ascii="Times New Roman" w:hAnsi="Times New Roman"/>
          <w:color w:val="231F20"/>
          <w:sz w:val="24"/>
          <w:szCs w:val="24"/>
          <w:lang w:val="az-Latn-AZ"/>
        </w:rPr>
        <w:tab/>
        <w:t>96–97</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mövcud aktiv</w:t>
      </w:r>
      <w:r w:rsidRPr="009C2EF2">
        <w:rPr>
          <w:rFonts w:ascii="Times New Roman" w:hAnsi="Times New Roman"/>
          <w:color w:val="231F20"/>
          <w:sz w:val="24"/>
          <w:szCs w:val="24"/>
          <w:lang w:val="az-Latn-AZ"/>
        </w:rPr>
        <w:tab/>
        <w:t>97–98</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xərcləri</w:t>
      </w:r>
      <w:r w:rsidRPr="009C2EF2">
        <w:rPr>
          <w:rFonts w:ascii="Times New Roman" w:hAnsi="Times New Roman"/>
          <w:color w:val="231F20"/>
          <w:spacing w:val="1"/>
          <w:sz w:val="24"/>
          <w:szCs w:val="24"/>
          <w:lang w:val="az-Latn-AZ"/>
        </w:rPr>
        <w:tab/>
        <w:t>95</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maliyə hesabatı üzrə</w:t>
      </w:r>
      <w:r w:rsidRPr="009C2EF2">
        <w:rPr>
          <w:rFonts w:ascii="Times New Roman" w:hAnsi="Times New Roman"/>
          <w:color w:val="231F20"/>
          <w:sz w:val="24"/>
          <w:szCs w:val="24"/>
          <w:lang w:val="az-Latn-AZ"/>
        </w:rPr>
        <w:tab/>
        <w:t>98</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marketinq xərcləri</w:t>
      </w:r>
      <w:r w:rsidRPr="009C2EF2">
        <w:rPr>
          <w:rFonts w:ascii="Times New Roman" w:hAnsi="Times New Roman"/>
          <w:color w:val="231F20"/>
          <w:sz w:val="24"/>
          <w:szCs w:val="24"/>
          <w:lang w:val="az-Latn-AZ"/>
        </w:rPr>
        <w:tab/>
        <w:t>95</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təminatlı kreditləşmə üzrə</w:t>
      </w:r>
      <w:r w:rsidRPr="009C2EF2">
        <w:rPr>
          <w:rFonts w:ascii="Times New Roman" w:hAnsi="Times New Roman"/>
          <w:color w:val="231F20"/>
          <w:sz w:val="24"/>
          <w:szCs w:val="24"/>
          <w:lang w:val="az-Latn-AZ"/>
        </w:rPr>
        <w:tab/>
        <w:t>98</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vaxt cədvəli</w:t>
      </w:r>
      <w:r w:rsidRPr="009C2EF2">
        <w:rPr>
          <w:rFonts w:ascii="Times New Roman" w:hAnsi="Times New Roman"/>
          <w:color w:val="231F20"/>
          <w:sz w:val="24"/>
          <w:szCs w:val="24"/>
          <w:lang w:val="az-Latn-AZ"/>
        </w:rPr>
        <w:tab/>
        <w:t>95</w:t>
      </w:r>
    </w:p>
    <w:p w:rsidR="00D02DD9" w:rsidRPr="009C2EF2" w:rsidRDefault="0075026C">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49536" behindDoc="0" locked="0" layoutInCell="0" allowOverlap="1">
                <wp:simplePos x="0" y="0"/>
                <wp:positionH relativeFrom="page">
                  <wp:posOffset>156845</wp:posOffset>
                </wp:positionH>
                <wp:positionV relativeFrom="paragraph">
                  <wp:posOffset>5715</wp:posOffset>
                </wp:positionV>
                <wp:extent cx="152400" cy="353695"/>
                <wp:effectExtent l="0" t="0" r="0" b="0"/>
                <wp:wrapNone/>
                <wp:docPr id="3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8" type="#_x0000_t202" style="position:absolute;left:0;text-align:left;margin-left:12.35pt;margin-top:.45pt;width:12pt;height:27.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rhsg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" o:allowincell="f" filled="f" stroked="f">
                <v:textbox style="layout-flow:vertical;mso-layout-flow-alt:bottom-to-top"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qiymətləndirmə yanaşmaları və metodları</w:t>
      </w:r>
      <w:r w:rsidR="003C64E0" w:rsidRPr="009C2EF2">
        <w:rPr>
          <w:rFonts w:ascii="Times New Roman" w:hAnsi="Times New Roman"/>
          <w:color w:val="231F20"/>
          <w:sz w:val="24"/>
          <w:szCs w:val="24"/>
          <w:lang w:val="az-Latn-AZ"/>
        </w:rPr>
        <w:tab/>
        <w:t>90–97</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üsulu</w:t>
      </w:r>
      <w:r w:rsidRPr="009C2EF2">
        <w:rPr>
          <w:rFonts w:ascii="Times New Roman" w:hAnsi="Times New Roman"/>
          <w:color w:val="231F20"/>
          <w:sz w:val="24"/>
          <w:szCs w:val="24"/>
          <w:lang w:val="az-Latn-AZ"/>
        </w:rPr>
        <w:tab/>
        <w:t>92–97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paylama metodu</w:t>
      </w:r>
      <w:r w:rsidRPr="009C2EF2">
        <w:rPr>
          <w:rFonts w:ascii="Times New Roman" w:hAnsi="Times New Roman"/>
          <w:color w:val="231F20"/>
          <w:sz w:val="24"/>
          <w:szCs w:val="24"/>
          <w:lang w:val="az-Latn-AZ"/>
        </w:rPr>
        <w:tab/>
        <w:t>67–68</w:t>
      </w:r>
    </w:p>
    <w:p w:rsidR="00D02DD9" w:rsidRPr="009C2EF2" w:rsidRDefault="003C64E0">
      <w:pPr>
        <w:pStyle w:val="a3"/>
        <w:tabs>
          <w:tab w:val="left" w:pos="6904"/>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diskont faiz dərəcələri</w:t>
      </w:r>
      <w:r w:rsidRPr="009C2EF2">
        <w:rPr>
          <w:rFonts w:ascii="Times New Roman" w:hAnsi="Times New Roman"/>
          <w:color w:val="231F20"/>
          <w:sz w:val="24"/>
          <w:szCs w:val="24"/>
          <w:lang w:val="az-Latn-AZ"/>
        </w:rPr>
        <w:tab/>
        <w:t>38, 40, 42</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52</w:t>
      </w:r>
    </w:p>
    <w:p w:rsidR="00D02DD9" w:rsidRPr="009C2EF2" w:rsidRDefault="003C64E0">
      <w:pPr>
        <w:pStyle w:val="a3"/>
        <w:tabs>
          <w:tab w:val="left" w:pos="6416"/>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əldə olunma</w:t>
      </w:r>
      <w:r w:rsidRPr="009C2EF2">
        <w:rPr>
          <w:rFonts w:ascii="Times New Roman" w:hAnsi="Times New Roman"/>
          <w:color w:val="231F20"/>
          <w:sz w:val="24"/>
          <w:szCs w:val="24"/>
          <w:lang w:val="az-Latn-AZ"/>
        </w:rPr>
        <w:tab/>
        <w:t>42, 85, 102–103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96–97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102–103</w:t>
      </w:r>
    </w:p>
    <w:p w:rsidR="00D02DD9" w:rsidRPr="009C2EF2" w:rsidRDefault="003C64E0">
      <w:pPr>
        <w:pStyle w:val="a3"/>
        <w:tabs>
          <w:tab w:val="left" w:pos="6898"/>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69–70, 73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84–85</w:t>
      </w:r>
    </w:p>
    <w:p w:rsidR="00D02DD9" w:rsidRPr="009C2EF2" w:rsidRDefault="003C64E0">
      <w:pPr>
        <w:pStyle w:val="a3"/>
        <w:tabs>
          <w:tab w:val="left" w:pos="6415"/>
          <w:tab w:val="right" w:pos="7710"/>
        </w:tabs>
        <w:kinsoku w:val="0"/>
        <w:overflowPunct w:val="0"/>
        <w:spacing w:before="9" w:line="250" w:lineRule="auto"/>
        <w:ind w:left="963" w:right="111"/>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diskontlaşdırılmış pul axını (DPA)</w:t>
      </w:r>
      <w:r w:rsidRPr="009C2EF2">
        <w:rPr>
          <w:rFonts w:ascii="Times New Roman" w:hAnsi="Times New Roman"/>
          <w:color w:val="231F20"/>
          <w:sz w:val="24"/>
          <w:szCs w:val="24"/>
          <w:lang w:val="az-Latn-AZ"/>
        </w:rPr>
        <w:tab/>
        <w:t>37–42, 102–103 rəqabət qabiliyyətinin aşağı olmasına görə güzəştlər (DLOM)</w:t>
      </w:r>
      <w:r w:rsidRPr="009C2EF2">
        <w:rPr>
          <w:rFonts w:ascii="Times New Roman" w:hAnsi="Times New Roman"/>
          <w:color w:val="231F20"/>
          <w:sz w:val="24"/>
          <w:szCs w:val="24"/>
          <w:lang w:val="az-Latn-AZ"/>
        </w:rPr>
        <w:tab/>
      </w:r>
      <w:r w:rsidRPr="009C2EF2">
        <w:rPr>
          <w:rFonts w:ascii="Times New Roman" w:hAnsi="Times New Roman"/>
          <w:color w:val="231F20"/>
          <w:sz w:val="24"/>
          <w:szCs w:val="24"/>
          <w:lang w:val="az-Latn-AZ"/>
        </w:rPr>
        <w:tab/>
        <w:t>35–36</w:t>
      </w:r>
    </w:p>
    <w:p w:rsidR="00D02DD9" w:rsidRPr="009C2EF2" w:rsidRDefault="003C64E0">
      <w:pPr>
        <w:pStyle w:val="a3"/>
        <w:tabs>
          <w:tab w:val="right" w:pos="7710"/>
        </w:tabs>
        <w:kinsoku w:val="0"/>
        <w:overflowPunct w:val="0"/>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rəqabət qabiliyyətinin aşağı olmasına görə güzəştlər (DLOM)</w:t>
      </w:r>
      <w:r w:rsidRPr="009C2EF2">
        <w:rPr>
          <w:rFonts w:ascii="Times New Roman" w:hAnsi="Times New Roman"/>
          <w:color w:val="231F20"/>
          <w:sz w:val="24"/>
          <w:szCs w:val="24"/>
          <w:lang w:val="az-Latn-AZ"/>
        </w:rPr>
        <w:tab/>
        <w:t>35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tullantı dəyəri</w:t>
      </w:r>
      <w:r w:rsidRPr="009C2EF2">
        <w:rPr>
          <w:rFonts w:ascii="Times New Roman" w:hAnsi="Times New Roman"/>
          <w:color w:val="231F20"/>
          <w:sz w:val="24"/>
          <w:szCs w:val="24"/>
          <w:lang w:val="az-Latn-AZ"/>
        </w:rPr>
        <w:tab/>
        <w:t>41–42</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distribüter metodu</w:t>
      </w:r>
      <w:r w:rsidRPr="009C2EF2">
        <w:rPr>
          <w:rFonts w:ascii="Times New Roman" w:hAnsi="Times New Roman"/>
          <w:color w:val="231F20"/>
          <w:sz w:val="24"/>
          <w:szCs w:val="24"/>
          <w:lang w:val="az-Latn-AZ"/>
        </w:rPr>
        <w:tab/>
        <w:t>67–68</w:t>
      </w:r>
    </w:p>
    <w:p w:rsidR="00D02DD9" w:rsidRPr="009C2EF2" w:rsidRDefault="003C64E0">
      <w:pPr>
        <w:pStyle w:val="Heading21"/>
        <w:kinsoku w:val="0"/>
        <w:overflowPunct w:val="0"/>
        <w:spacing w:before="240"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E</w:t>
      </w:r>
    </w:p>
    <w:p w:rsidR="00D02DD9" w:rsidRPr="009C2EF2" w:rsidRDefault="003C64E0">
      <w:pPr>
        <w:pStyle w:val="a3"/>
        <w:tabs>
          <w:tab w:val="right" w:pos="7710"/>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iqtisadiyyat və sənayeyə dair mülahizələr</w:t>
      </w:r>
      <w:r w:rsidRPr="009C2EF2">
        <w:rPr>
          <w:rFonts w:ascii="Times New Roman" w:hAnsi="Times New Roman"/>
          <w:color w:val="231F20"/>
          <w:spacing w:val="1"/>
          <w:sz w:val="24"/>
          <w:szCs w:val="24"/>
          <w:lang w:val="az-Latn-AZ"/>
        </w:rPr>
        <w:tab/>
        <w:t>55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qeyri-maddi aktivin faydalı istismar müddəti</w:t>
      </w:r>
      <w:r w:rsidRPr="009C2EF2">
        <w:rPr>
          <w:rFonts w:ascii="Times New Roman" w:hAnsi="Times New Roman"/>
          <w:color w:val="231F20"/>
          <w:spacing w:val="1"/>
          <w:sz w:val="24"/>
          <w:szCs w:val="24"/>
          <w:lang w:val="az-Latn-AZ"/>
        </w:rPr>
        <w:tab/>
        <w:t>70–72</w:t>
      </w:r>
    </w:p>
    <w:p w:rsidR="00D02DD9" w:rsidRPr="009C2EF2" w:rsidRDefault="003C64E0">
      <w:pPr>
        <w:pStyle w:val="a3"/>
        <w:tabs>
          <w:tab w:val="left" w:pos="7207"/>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müəssisənin dəyəri</w:t>
      </w:r>
      <w:r w:rsidRPr="009C2EF2">
        <w:rPr>
          <w:rFonts w:ascii="Times New Roman" w:hAnsi="Times New Roman"/>
          <w:color w:val="231F20"/>
          <w:sz w:val="24"/>
          <w:szCs w:val="24"/>
          <w:lang w:val="az-Latn-AZ"/>
        </w:rPr>
        <w:tab/>
        <w:t>50, 52</w:t>
      </w:r>
    </w:p>
    <w:p w:rsidR="00D02DD9" w:rsidRPr="009C2EF2" w:rsidRDefault="003C64E0">
      <w:pPr>
        <w:pStyle w:val="a3"/>
        <w:tabs>
          <w:tab w:val="right" w:pos="7711"/>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müəssisəyə xas amillər</w:t>
      </w:r>
      <w:r w:rsidRPr="009C2EF2">
        <w:rPr>
          <w:rFonts w:ascii="Times New Roman" w:hAnsi="Times New Roman"/>
          <w:color w:val="231F20"/>
          <w:spacing w:val="1"/>
          <w:sz w:val="24"/>
          <w:szCs w:val="24"/>
          <w:lang w:val="az-Latn-AZ"/>
        </w:rPr>
        <w:tab/>
        <w:t>26</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razılaşma dəyəri</w:t>
      </w:r>
      <w:r w:rsidRPr="009C2EF2">
        <w:rPr>
          <w:rFonts w:ascii="Times New Roman" w:hAnsi="Times New Roman"/>
          <w:color w:val="231F20"/>
          <w:sz w:val="24"/>
          <w:szCs w:val="24"/>
          <w:lang w:val="az-Latn-AZ"/>
        </w:rPr>
        <w:tab/>
        <w:t>21–22</w:t>
      </w:r>
    </w:p>
    <w:p w:rsidR="00D02DD9" w:rsidRPr="009C2EF2" w:rsidRDefault="003C64E0">
      <w:pPr>
        <w:pStyle w:val="a3"/>
        <w:tabs>
          <w:tab w:val="left" w:pos="7207"/>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razılaşma dəyəri</w:t>
      </w:r>
      <w:r w:rsidRPr="009C2EF2">
        <w:rPr>
          <w:rFonts w:ascii="Times New Roman" w:hAnsi="Times New Roman"/>
          <w:color w:val="231F20"/>
          <w:spacing w:val="1"/>
          <w:sz w:val="24"/>
          <w:szCs w:val="24"/>
          <w:lang w:val="az-Latn-AZ"/>
        </w:rPr>
        <w:tab/>
        <w:t>50, 52</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izafi mənfəət metodu</w:t>
      </w:r>
      <w:r w:rsidRPr="009C2EF2">
        <w:rPr>
          <w:rFonts w:ascii="Times New Roman" w:hAnsi="Times New Roman"/>
          <w:color w:val="231F20"/>
          <w:sz w:val="24"/>
          <w:szCs w:val="24"/>
          <w:lang w:val="az-Latn-AZ"/>
        </w:rPr>
        <w:tab/>
        <w:t>62–64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mövcud aktiv</w:t>
      </w:r>
      <w:r w:rsidRPr="009C2EF2">
        <w:rPr>
          <w:rFonts w:ascii="Times New Roman" w:hAnsi="Times New Roman"/>
          <w:color w:val="231F20"/>
          <w:sz w:val="24"/>
          <w:szCs w:val="24"/>
          <w:lang w:val="az-Latn-AZ"/>
        </w:rPr>
        <w:tab/>
        <w:t>97–98</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mövcud istifadə</w:t>
      </w:r>
      <w:r w:rsidRPr="009C2EF2">
        <w:rPr>
          <w:rFonts w:ascii="Times New Roman" w:hAnsi="Times New Roman"/>
          <w:color w:val="231F20"/>
          <w:sz w:val="24"/>
          <w:szCs w:val="24"/>
          <w:lang w:val="az-Latn-AZ"/>
        </w:rPr>
        <w:tab/>
        <w:t>25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çıxış dəyəri</w:t>
      </w:r>
      <w:r w:rsidRPr="009C2EF2">
        <w:rPr>
          <w:rFonts w:ascii="Times New Roman" w:hAnsi="Times New Roman"/>
          <w:color w:val="231F20"/>
          <w:spacing w:val="-1"/>
          <w:sz w:val="24"/>
          <w:szCs w:val="24"/>
          <w:lang w:val="az-Latn-AZ"/>
        </w:rPr>
        <w:tab/>
        <w:t>41</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dəqiq proqnozlaşdırma müddəti</w:t>
      </w:r>
      <w:r w:rsidRPr="009C2EF2">
        <w:rPr>
          <w:rFonts w:ascii="Times New Roman" w:hAnsi="Times New Roman"/>
          <w:color w:val="231F20"/>
          <w:sz w:val="24"/>
          <w:szCs w:val="24"/>
          <w:lang w:val="az-Latn-AZ"/>
        </w:rPr>
        <w:tab/>
        <w:t>39</w:t>
      </w:r>
    </w:p>
    <w:p w:rsidR="00D02DD9" w:rsidRPr="009C2EF2" w:rsidRDefault="003C64E0">
      <w:pPr>
        <w:pStyle w:val="a3"/>
        <w:kinsoku w:val="0"/>
        <w:overflowPunct w:val="0"/>
        <w:spacing w:before="368"/>
        <w:ind w:left="4183" w:right="3334"/>
        <w:jc w:val="center"/>
        <w:rPr>
          <w:rFonts w:ascii="Times New Roman" w:hAnsi="Times New Roman"/>
          <w:color w:val="000000"/>
          <w:sz w:val="24"/>
          <w:szCs w:val="24"/>
          <w:lang w:val="az-Latn-AZ"/>
        </w:rPr>
      </w:pPr>
      <w:r w:rsidRPr="009C2EF2">
        <w:rPr>
          <w:rFonts w:ascii="Times New Roman" w:hAnsi="Times New Roman"/>
          <w:color w:val="231F20"/>
          <w:spacing w:val="-5"/>
          <w:sz w:val="24"/>
          <w:szCs w:val="24"/>
          <w:lang w:val="az-Latn-AZ"/>
        </w:rPr>
        <w:t>110</w:t>
      </w:r>
    </w:p>
    <w:p w:rsidR="00D02DD9" w:rsidRPr="009C2EF2" w:rsidRDefault="00D02DD9">
      <w:pPr>
        <w:pStyle w:val="a3"/>
        <w:kinsoku w:val="0"/>
        <w:overflowPunct w:val="0"/>
        <w:spacing w:before="368"/>
        <w:ind w:left="4183" w:right="3334"/>
        <w:jc w:val="center"/>
        <w:rPr>
          <w:rFonts w:ascii="Times New Roman" w:hAnsi="Times New Roman"/>
          <w:color w:val="000000"/>
          <w:sz w:val="24"/>
          <w:szCs w:val="24"/>
          <w:lang w:val="az-Latn-AZ"/>
        </w:rPr>
        <w:sectPr w:rsidR="00D02DD9" w:rsidRPr="009C2EF2">
          <w:footerReference w:type="default" r:id="rId116"/>
          <w:pgSz w:w="8850" w:h="13270"/>
          <w:pgMar w:top="0" w:right="1020" w:bottom="0" w:left="0" w:header="0" w:footer="0" w:gutter="0"/>
          <w:cols w:space="720" w:equalWidth="0">
            <w:col w:w="783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69344" behindDoc="1" locked="0" layoutInCell="0" allowOverlap="1">
                <wp:simplePos x="0" y="0"/>
                <wp:positionH relativeFrom="page">
                  <wp:posOffset>5183505</wp:posOffset>
                </wp:positionH>
                <wp:positionV relativeFrom="page">
                  <wp:posOffset>0</wp:posOffset>
                </wp:positionV>
                <wp:extent cx="431800" cy="8423910"/>
                <wp:effectExtent l="0" t="0" r="0" b="0"/>
                <wp:wrapNone/>
                <wp:docPr id="3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B028FE" id="Freeform 239" o:spid="_x0000_s1026" style="position:absolute;margin-left:408.15pt;margin-top:0;width:34pt;height:663.3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ekB61H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3332" w:right="4122"/>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İndeks</w:t>
      </w:r>
    </w:p>
    <w:p w:rsidR="00D02DD9" w:rsidRPr="009C2EF2" w:rsidRDefault="00D02DD9">
      <w:pPr>
        <w:pStyle w:val="a3"/>
        <w:kinsoku w:val="0"/>
        <w:overflowPunct w:val="0"/>
        <w:spacing w:before="10"/>
        <w:ind w:left="0"/>
        <w:rPr>
          <w:rFonts w:ascii="Times New Roman" w:hAnsi="Times New Roman"/>
          <w:i/>
          <w:sz w:val="24"/>
          <w:szCs w:val="24"/>
          <w:lang w:val="az-Latn-AZ"/>
        </w:rPr>
      </w:pPr>
    </w:p>
    <w:p w:rsidR="00D02DD9" w:rsidRPr="009C2EF2" w:rsidRDefault="003C64E0">
      <w:pPr>
        <w:pStyle w:val="Heading21"/>
        <w:kinsoku w:val="0"/>
        <w:overflowPunct w:val="0"/>
        <w:spacing w:line="274" w:lineRule="exact"/>
        <w:ind w:left="17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F</w:t>
      </w:r>
    </w:p>
    <w:p w:rsidR="00D02DD9" w:rsidRPr="009C2EF2" w:rsidRDefault="003C64E0">
      <w:pPr>
        <w:pStyle w:val="a3"/>
        <w:tabs>
          <w:tab w:val="right" w:pos="6920"/>
        </w:tabs>
        <w:kinsoku w:val="0"/>
        <w:overflowPunct w:val="0"/>
        <w:spacing w:line="205" w:lineRule="exact"/>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bazar dəyəri (İƏİT)</w:t>
      </w:r>
      <w:r w:rsidRPr="009C2EF2">
        <w:rPr>
          <w:rFonts w:ascii="Times New Roman" w:hAnsi="Times New Roman"/>
          <w:color w:val="231F20"/>
          <w:sz w:val="24"/>
          <w:szCs w:val="24"/>
          <w:lang w:val="az-Latn-AZ"/>
        </w:rPr>
        <w:tab/>
        <w:t>23</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bazar dəyəri (USIRS)</w:t>
      </w:r>
      <w:r w:rsidRPr="009C2EF2">
        <w:rPr>
          <w:rFonts w:ascii="Times New Roman" w:hAnsi="Times New Roman"/>
          <w:color w:val="231F20"/>
          <w:sz w:val="24"/>
          <w:szCs w:val="24"/>
          <w:lang w:val="az-Latn-AZ"/>
        </w:rPr>
        <w:tab/>
        <w:t>23</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dəyər (IFRS)</w:t>
      </w:r>
      <w:r w:rsidRPr="009C2EF2">
        <w:rPr>
          <w:rFonts w:ascii="Times New Roman" w:hAnsi="Times New Roman"/>
          <w:color w:val="231F20"/>
          <w:sz w:val="24"/>
          <w:szCs w:val="24"/>
          <w:lang w:val="az-Latn-AZ"/>
        </w:rPr>
        <w:tab/>
        <w:t>23</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ədalətli dəyər (hüquqi/ qanuni)</w:t>
      </w:r>
      <w:r w:rsidRPr="009C2EF2">
        <w:rPr>
          <w:rFonts w:ascii="Times New Roman" w:hAnsi="Times New Roman"/>
          <w:color w:val="231F20"/>
          <w:sz w:val="24"/>
          <w:szCs w:val="24"/>
          <w:lang w:val="az-Latn-AZ"/>
        </w:rPr>
        <w:tab/>
        <w:t>23–24</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xərcləri</w:t>
      </w:r>
      <w:r w:rsidRPr="009C2EF2">
        <w:rPr>
          <w:rFonts w:ascii="Times New Roman" w:hAnsi="Times New Roman"/>
          <w:color w:val="231F20"/>
          <w:spacing w:val="1"/>
          <w:sz w:val="24"/>
          <w:szCs w:val="24"/>
          <w:lang w:val="az-Latn-AZ"/>
        </w:rPr>
        <w:tab/>
        <w:t>95</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alətləri (BQS 500)</w:t>
      </w:r>
      <w:r w:rsidRPr="009C2EF2">
        <w:rPr>
          <w:rFonts w:ascii="Times New Roman" w:hAnsi="Times New Roman"/>
          <w:color w:val="231F20"/>
          <w:sz w:val="24"/>
          <w:szCs w:val="24"/>
          <w:lang w:val="az-Latn-AZ"/>
        </w:rPr>
        <w:tab/>
        <w:t>99–107</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103–107</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nəzarət mühiti</w:t>
      </w:r>
      <w:r w:rsidRPr="009C2EF2">
        <w:rPr>
          <w:rFonts w:ascii="Times New Roman" w:hAnsi="Times New Roman"/>
          <w:color w:val="231F20"/>
          <w:spacing w:val="1"/>
          <w:sz w:val="24"/>
          <w:szCs w:val="24"/>
          <w:lang w:val="az-Latn-AZ"/>
        </w:rPr>
        <w:tab/>
        <w:t>106–107</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w:t>
      </w:r>
      <w:r w:rsidRPr="009C2EF2">
        <w:rPr>
          <w:rFonts w:ascii="Times New Roman" w:hAnsi="Times New Roman"/>
          <w:color w:val="231F20"/>
          <w:sz w:val="24"/>
          <w:szCs w:val="24"/>
          <w:lang w:val="az-Latn-AZ"/>
        </w:rPr>
        <w:tab/>
        <w:t>104–106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likvidlik və bazar fəaliyyəti</w:t>
      </w:r>
      <w:r w:rsidRPr="009C2EF2">
        <w:rPr>
          <w:rFonts w:ascii="Times New Roman" w:hAnsi="Times New Roman"/>
          <w:color w:val="231F20"/>
          <w:sz w:val="24"/>
          <w:szCs w:val="24"/>
          <w:lang w:val="az-Latn-AZ"/>
        </w:rPr>
        <w:tab/>
        <w:t>106</w:t>
      </w:r>
    </w:p>
    <w:p w:rsidR="00D02DD9" w:rsidRPr="009C2EF2" w:rsidRDefault="003C64E0">
      <w:pPr>
        <w:pStyle w:val="a3"/>
        <w:tabs>
          <w:tab w:val="right" w:pos="6920"/>
        </w:tabs>
        <w:kinsoku w:val="0"/>
        <w:overflowPunct w:val="0"/>
        <w:spacing w:before="9"/>
        <w:ind w:left="1024"/>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üzrə ilkin məlumatlar</w:t>
      </w:r>
      <w:r w:rsidRPr="009C2EF2">
        <w:rPr>
          <w:rFonts w:ascii="Times New Roman" w:hAnsi="Times New Roman"/>
          <w:color w:val="231F20"/>
          <w:sz w:val="24"/>
          <w:szCs w:val="24"/>
          <w:lang w:val="az-Latn-AZ"/>
        </w:rPr>
        <w:tab/>
        <w:t>103–104</w:t>
      </w:r>
    </w:p>
    <w:p w:rsidR="00D02DD9" w:rsidRPr="009C2EF2" w:rsidRDefault="003C64E0">
      <w:pPr>
        <w:pStyle w:val="a3"/>
        <w:tabs>
          <w:tab w:val="right" w:pos="69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 və metodları</w:t>
      </w:r>
      <w:r w:rsidRPr="009C2EF2">
        <w:rPr>
          <w:rFonts w:ascii="Times New Roman" w:hAnsi="Times New Roman"/>
          <w:color w:val="231F20"/>
          <w:sz w:val="24"/>
          <w:szCs w:val="24"/>
          <w:lang w:val="az-Latn-AZ"/>
        </w:rPr>
        <w:tab/>
        <w:t>101–103</w:t>
      </w:r>
    </w:p>
    <w:p w:rsidR="00D02DD9" w:rsidRPr="009C2EF2" w:rsidRDefault="003C64E0">
      <w:pPr>
        <w:pStyle w:val="a3"/>
        <w:tabs>
          <w:tab w:val="left" w:pos="6012"/>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hesabatı</w:t>
      </w:r>
      <w:r w:rsidRPr="009C2EF2">
        <w:rPr>
          <w:rFonts w:ascii="Times New Roman" w:hAnsi="Times New Roman"/>
          <w:color w:val="231F20"/>
          <w:spacing w:val="1"/>
          <w:sz w:val="24"/>
          <w:szCs w:val="24"/>
          <w:lang w:val="az-Latn-AZ"/>
        </w:rPr>
        <w:tab/>
        <w:t>23, 98, 105</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sazişləri</w:t>
      </w:r>
      <w:r w:rsidRPr="009C2EF2">
        <w:rPr>
          <w:rFonts w:ascii="Times New Roman" w:hAnsi="Times New Roman"/>
          <w:color w:val="231F20"/>
          <w:spacing w:val="1"/>
          <w:sz w:val="24"/>
          <w:szCs w:val="24"/>
          <w:lang w:val="az-Latn-AZ"/>
        </w:rPr>
        <w:tab/>
        <w:t>80</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məcburi satış</w:t>
      </w:r>
      <w:r w:rsidRPr="009C2EF2">
        <w:rPr>
          <w:rFonts w:ascii="Times New Roman" w:hAnsi="Times New Roman"/>
          <w:color w:val="231F20"/>
          <w:spacing w:val="1"/>
          <w:sz w:val="24"/>
          <w:szCs w:val="24"/>
          <w:lang w:val="az-Latn-AZ"/>
        </w:rPr>
        <w:tab/>
        <w:t>25–26</w:t>
      </w:r>
    </w:p>
    <w:p w:rsidR="00D02DD9" w:rsidRPr="009C2EF2" w:rsidRDefault="003C64E0">
      <w:pPr>
        <w:pStyle w:val="Heading21"/>
        <w:kinsoku w:val="0"/>
        <w:overflowPunct w:val="0"/>
        <w:spacing w:before="240" w:line="274" w:lineRule="exact"/>
        <w:ind w:left="17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G</w:t>
      </w:r>
    </w:p>
    <w:p w:rsidR="00D02DD9" w:rsidRPr="009C2EF2" w:rsidRDefault="003C64E0">
      <w:pPr>
        <w:pStyle w:val="a3"/>
        <w:kinsoku w:val="0"/>
        <w:overflowPunct w:val="0"/>
        <w:spacing w:line="205" w:lineRule="exact"/>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əsas standartlar,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BQS Əsas Standartlar</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lüğət</w:t>
      </w:r>
      <w:r w:rsidRPr="009C2EF2">
        <w:rPr>
          <w:rFonts w:ascii="Times New Roman" w:hAnsi="Times New Roman"/>
          <w:color w:val="231F20"/>
          <w:spacing w:val="1"/>
          <w:sz w:val="24"/>
          <w:szCs w:val="24"/>
          <w:lang w:val="az-Latn-AZ"/>
        </w:rPr>
        <w:tab/>
        <w:t>3–5</w:t>
      </w:r>
    </w:p>
    <w:p w:rsidR="00D02DD9" w:rsidRPr="009C2EF2" w:rsidRDefault="003C64E0">
      <w:pPr>
        <w:pStyle w:val="a3"/>
        <w:tabs>
          <w:tab w:val="left" w:pos="6092"/>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qudvil</w:t>
      </w:r>
      <w:r w:rsidRPr="009C2EF2">
        <w:rPr>
          <w:rFonts w:ascii="Times New Roman" w:hAnsi="Times New Roman"/>
          <w:color w:val="231F20"/>
          <w:spacing w:val="1"/>
          <w:sz w:val="24"/>
          <w:szCs w:val="24"/>
          <w:lang w:val="az-Latn-AZ"/>
        </w:rPr>
        <w:tab/>
        <w:t>58–59, 63</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Qordon artım modeli</w:t>
      </w:r>
      <w:r w:rsidRPr="009C2EF2">
        <w:rPr>
          <w:rFonts w:ascii="Times New Roman" w:hAnsi="Times New Roman"/>
          <w:color w:val="231F20"/>
          <w:spacing w:val="1"/>
          <w:sz w:val="24"/>
          <w:szCs w:val="24"/>
          <w:lang w:val="az-Latn-AZ"/>
        </w:rPr>
        <w:tab/>
        <w:t>41</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qrinfild metodu</w:t>
      </w:r>
      <w:r w:rsidRPr="009C2EF2">
        <w:rPr>
          <w:rFonts w:ascii="Times New Roman" w:hAnsi="Times New Roman"/>
          <w:color w:val="231F20"/>
          <w:spacing w:val="1"/>
          <w:sz w:val="24"/>
          <w:szCs w:val="24"/>
          <w:lang w:val="az-Latn-AZ"/>
        </w:rPr>
        <w:tab/>
        <w:t>67</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ictimaiyyətə açıq müqayisəli rəhbər metod</w:t>
      </w:r>
      <w:r w:rsidRPr="009C2EF2">
        <w:rPr>
          <w:rFonts w:ascii="Times New Roman" w:hAnsi="Times New Roman"/>
          <w:color w:val="231F20"/>
          <w:sz w:val="24"/>
          <w:szCs w:val="24"/>
          <w:lang w:val="az-Latn-AZ"/>
        </w:rPr>
        <w:tab/>
        <w:t>33–35</w:t>
      </w:r>
    </w:p>
    <w:p w:rsidR="00D02DD9" w:rsidRPr="009C2EF2" w:rsidRDefault="003C64E0">
      <w:pPr>
        <w:pStyle w:val="a3"/>
        <w:tabs>
          <w:tab w:val="right" w:pos="6920"/>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müqayisə edilə bilən əməliyyatlar metodu </w:t>
      </w:r>
      <w:r w:rsidRPr="009C2EF2">
        <w:rPr>
          <w:rFonts w:ascii="Times New Roman" w:hAnsi="Times New Roman"/>
          <w:color w:val="231F20"/>
          <w:sz w:val="24"/>
          <w:szCs w:val="24"/>
          <w:lang w:val="az-Latn-AZ"/>
        </w:rPr>
        <w:tab/>
        <w:t>31–33</w:t>
      </w:r>
    </w:p>
    <w:p w:rsidR="00D02DD9" w:rsidRPr="009C2EF2" w:rsidRDefault="0075026C">
      <w:pPr>
        <w:pStyle w:val="a3"/>
        <w:kinsoku w:val="0"/>
        <w:overflowPunct w:val="0"/>
        <w:spacing w:before="10"/>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0560" behindDoc="0" locked="0" layoutInCell="0" allowOverlap="1">
                <wp:simplePos x="0" y="0"/>
                <wp:positionH relativeFrom="page">
                  <wp:posOffset>5306695</wp:posOffset>
                </wp:positionH>
                <wp:positionV relativeFrom="paragraph">
                  <wp:posOffset>21590</wp:posOffset>
                </wp:positionV>
                <wp:extent cx="219710" cy="488950"/>
                <wp:effectExtent l="0" t="0" r="0" b="0"/>
                <wp:wrapNone/>
                <wp:docPr id="2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49" type="#_x0000_t202" style="position:absolute;margin-left:417.85pt;margin-top:1.7pt;width:17.3pt;height:3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" o:allowincell="f" filled="f" stroked="f">
                <v:textbox style="layout-flow:vertical"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p>
    <w:tbl>
      <w:tblPr>
        <w:tblW w:w="0" w:type="auto"/>
        <w:tblInd w:w="119" w:type="dxa"/>
        <w:tblLayout w:type="fixed"/>
        <w:tblCellMar>
          <w:left w:w="0" w:type="dxa"/>
          <w:right w:w="0" w:type="dxa"/>
        </w:tblCellMar>
        <w:tblLook w:val="04A0" w:firstRow="1" w:lastRow="0" w:firstColumn="1" w:lastColumn="0" w:noHBand="0" w:noVBand="1"/>
      </w:tblPr>
      <w:tblGrid>
        <w:gridCol w:w="4021"/>
        <w:gridCol w:w="2835"/>
      </w:tblGrid>
      <w:tr w:rsidR="00D02DD9" w:rsidRPr="009C2EF2">
        <w:trPr>
          <w:trHeight w:hRule="exact" w:val="352"/>
        </w:trPr>
        <w:tc>
          <w:tcPr>
            <w:tcW w:w="4021" w:type="dxa"/>
            <w:tcBorders>
              <w:top w:val="nil"/>
              <w:left w:val="nil"/>
              <w:bottom w:val="nil"/>
              <w:right w:val="nil"/>
            </w:tcBorders>
          </w:tcPr>
          <w:p w:rsidR="00D02DD9" w:rsidRPr="009C2EF2" w:rsidRDefault="003C64E0">
            <w:pPr>
              <w:pStyle w:val="TableParagraph"/>
              <w:kinsoku w:val="0"/>
              <w:overflowPunct w:val="0"/>
              <w:spacing w:before="69"/>
              <w:ind w:left="55"/>
              <w:rPr>
                <w:sz w:val="24"/>
                <w:szCs w:val="24"/>
                <w:lang w:val="az-Latn-AZ"/>
              </w:rPr>
            </w:pPr>
            <w:r w:rsidRPr="009C2EF2">
              <w:rPr>
                <w:b/>
                <w:color w:val="231F20"/>
                <w:sz w:val="24"/>
                <w:szCs w:val="24"/>
                <w:lang w:val="az-Latn-AZ"/>
              </w:rPr>
              <w:t>H</w:t>
            </w:r>
          </w:p>
        </w:tc>
        <w:tc>
          <w:tcPr>
            <w:tcW w:w="2835" w:type="dxa"/>
            <w:tcBorders>
              <w:top w:val="nil"/>
              <w:left w:val="nil"/>
              <w:bottom w:val="nil"/>
              <w:right w:val="nil"/>
            </w:tcBorders>
          </w:tcPr>
          <w:p w:rsidR="00D02DD9" w:rsidRPr="009C2EF2" w:rsidRDefault="00D02DD9">
            <w:pPr>
              <w:rPr>
                <w:sz w:val="24"/>
                <w:szCs w:val="24"/>
                <w:lang w:val="az-Latn-AZ"/>
              </w:rPr>
            </w:pPr>
          </w:p>
        </w:tc>
      </w:tr>
      <w:tr w:rsidR="00D02DD9" w:rsidRPr="009C2EF2">
        <w:trPr>
          <w:trHeight w:hRule="exact" w:val="210"/>
        </w:trPr>
        <w:tc>
          <w:tcPr>
            <w:tcW w:w="4021" w:type="dxa"/>
            <w:tcBorders>
              <w:top w:val="nil"/>
              <w:left w:val="nil"/>
              <w:bottom w:val="nil"/>
              <w:right w:val="nil"/>
            </w:tcBorders>
          </w:tcPr>
          <w:p w:rsidR="00D02DD9" w:rsidRPr="009C2EF2" w:rsidRDefault="003C64E0">
            <w:pPr>
              <w:pStyle w:val="TableParagraph"/>
              <w:kinsoku w:val="0"/>
              <w:overflowPunct w:val="0"/>
              <w:spacing w:line="196" w:lineRule="exact"/>
              <w:ind w:left="55"/>
              <w:rPr>
                <w:sz w:val="24"/>
                <w:szCs w:val="24"/>
                <w:lang w:val="az-Latn-AZ"/>
              </w:rPr>
            </w:pPr>
            <w:r w:rsidRPr="009C2EF2">
              <w:rPr>
                <w:color w:val="231F20"/>
                <w:sz w:val="24"/>
                <w:szCs w:val="24"/>
                <w:lang w:val="az-Latn-AZ"/>
              </w:rPr>
              <w:t>maraqların iyerarxiyası</w:t>
            </w:r>
          </w:p>
        </w:tc>
        <w:tc>
          <w:tcPr>
            <w:tcW w:w="2835" w:type="dxa"/>
            <w:tcBorders>
              <w:top w:val="nil"/>
              <w:left w:val="nil"/>
              <w:bottom w:val="nil"/>
              <w:right w:val="nil"/>
            </w:tcBorders>
          </w:tcPr>
          <w:p w:rsidR="00D02DD9" w:rsidRPr="009C2EF2" w:rsidRDefault="003C64E0">
            <w:pPr>
              <w:pStyle w:val="TableParagraph"/>
              <w:kinsoku w:val="0"/>
              <w:overflowPunct w:val="0"/>
              <w:spacing w:line="196" w:lineRule="exact"/>
              <w:ind w:right="53"/>
              <w:jc w:val="right"/>
              <w:rPr>
                <w:sz w:val="24"/>
                <w:szCs w:val="24"/>
                <w:lang w:val="az-Latn-AZ"/>
              </w:rPr>
            </w:pPr>
            <w:r w:rsidRPr="009C2EF2">
              <w:rPr>
                <w:color w:val="231F20"/>
                <w:spacing w:val="3"/>
                <w:w w:val="95"/>
                <w:sz w:val="24"/>
                <w:szCs w:val="24"/>
                <w:lang w:val="az-Latn-AZ"/>
              </w:rPr>
              <w:t>86</w:t>
            </w:r>
          </w:p>
        </w:tc>
      </w:tr>
      <w:tr w:rsidR="00D02DD9" w:rsidRPr="009C2EF2">
        <w:trPr>
          <w:trHeight w:hRule="exact" w:val="298"/>
        </w:trPr>
        <w:tc>
          <w:tcPr>
            <w:tcW w:w="4021"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ən yaxşı və ən səmərəli istifadə</w:t>
            </w:r>
          </w:p>
        </w:tc>
        <w:tc>
          <w:tcPr>
            <w:tcW w:w="2835"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20, 24</w:t>
            </w:r>
          </w:p>
        </w:tc>
      </w:tr>
    </w:tbl>
    <w:p w:rsidR="00D02DD9" w:rsidRPr="009C2EF2" w:rsidRDefault="003C64E0">
      <w:pPr>
        <w:pStyle w:val="Heading21"/>
        <w:kinsoku w:val="0"/>
        <w:overflowPunct w:val="0"/>
        <w:spacing w:before="144" w:line="274" w:lineRule="exact"/>
        <w:ind w:left="17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I</w:t>
      </w:r>
    </w:p>
    <w:p w:rsidR="00D02DD9" w:rsidRPr="009C2EF2" w:rsidRDefault="003C64E0">
      <w:pPr>
        <w:pStyle w:val="a3"/>
        <w:tabs>
          <w:tab w:val="left" w:pos="6394"/>
        </w:tabs>
        <w:kinsoku w:val="0"/>
        <w:overflowPunct w:val="0"/>
        <w:spacing w:line="205" w:lineRule="exact"/>
        <w:ind w:left="17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gəlir yanaşması</w:t>
      </w:r>
      <w:r w:rsidRPr="009C2EF2">
        <w:rPr>
          <w:rFonts w:ascii="Times New Roman" w:hAnsi="Times New Roman"/>
          <w:color w:val="231F20"/>
          <w:spacing w:val="1"/>
          <w:sz w:val="24"/>
          <w:szCs w:val="24"/>
          <w:lang w:val="az-Latn-AZ"/>
        </w:rPr>
        <w:tab/>
        <w:t>36–42</w:t>
      </w:r>
    </w:p>
    <w:p w:rsidR="00D02DD9" w:rsidRPr="009C2EF2" w:rsidRDefault="003C64E0">
      <w:pPr>
        <w:pStyle w:val="a3"/>
        <w:tabs>
          <w:tab w:val="left" w:pos="5787"/>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uyğunlaşdırmalar</w:t>
      </w:r>
      <w:r w:rsidRPr="009C2EF2">
        <w:rPr>
          <w:rFonts w:ascii="Times New Roman" w:hAnsi="Times New Roman"/>
          <w:color w:val="231F20"/>
          <w:w w:val="95"/>
          <w:sz w:val="24"/>
          <w:szCs w:val="24"/>
          <w:lang w:val="az-Latn-AZ"/>
        </w:rPr>
        <w:tab/>
        <w:t>52–53, 62–63</w:t>
      </w:r>
    </w:p>
    <w:p w:rsidR="00D02DD9" w:rsidRPr="009C2EF2" w:rsidRDefault="003C64E0">
      <w:pPr>
        <w:pStyle w:val="a3"/>
        <w:tabs>
          <w:tab w:val="left" w:pos="6416"/>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51–53</w:t>
      </w:r>
    </w:p>
    <w:p w:rsidR="00D02DD9" w:rsidRPr="009C2EF2" w:rsidRDefault="003C64E0">
      <w:pPr>
        <w:pStyle w:val="a3"/>
        <w:tabs>
          <w:tab w:val="left" w:pos="6722"/>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91</w:t>
      </w:r>
    </w:p>
    <w:p w:rsidR="00D02DD9" w:rsidRPr="009C2EF2" w:rsidRDefault="003C64E0">
      <w:pPr>
        <w:pStyle w:val="a3"/>
        <w:tabs>
          <w:tab w:val="left" w:pos="6228"/>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102–103</w:t>
      </w:r>
    </w:p>
    <w:p w:rsidR="00D02DD9" w:rsidRPr="009C2EF2" w:rsidRDefault="003C64E0">
      <w:pPr>
        <w:pStyle w:val="a3"/>
        <w:tabs>
          <w:tab w:val="left" w:pos="6407"/>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61–68</w:t>
      </w:r>
    </w:p>
    <w:p w:rsidR="00D02DD9" w:rsidRPr="009C2EF2" w:rsidRDefault="003C64E0">
      <w:pPr>
        <w:pStyle w:val="a3"/>
        <w:tabs>
          <w:tab w:val="left" w:pos="6721"/>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78</w:t>
      </w:r>
    </w:p>
    <w:p w:rsidR="00D02DD9" w:rsidRPr="009C2EF2" w:rsidRDefault="003C64E0">
      <w:pPr>
        <w:pStyle w:val="a3"/>
        <w:tabs>
          <w:tab w:val="left" w:pos="6391"/>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84–85</w:t>
      </w:r>
    </w:p>
    <w:p w:rsidR="00D02DD9" w:rsidRPr="009C2EF2" w:rsidRDefault="003C64E0">
      <w:pPr>
        <w:pStyle w:val="a3"/>
        <w:tabs>
          <w:tab w:val="left" w:pos="6417"/>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gəlir yanaşmasının metodları</w:t>
      </w:r>
      <w:r w:rsidRPr="009C2EF2">
        <w:rPr>
          <w:rFonts w:ascii="Times New Roman" w:hAnsi="Times New Roman"/>
          <w:color w:val="231F20"/>
          <w:spacing w:val="1"/>
          <w:sz w:val="24"/>
          <w:szCs w:val="24"/>
          <w:lang w:val="az-Latn-AZ"/>
        </w:rPr>
        <w:tab/>
        <w:t>37–42</w:t>
      </w:r>
    </w:p>
    <w:p w:rsidR="00D02DD9" w:rsidRPr="009C2EF2" w:rsidRDefault="003C64E0">
      <w:pPr>
        <w:pStyle w:val="a3"/>
        <w:tabs>
          <w:tab w:val="left" w:pos="5625"/>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diskontlaşdırılmış pul axını (DPA)</w:t>
      </w:r>
      <w:r w:rsidRPr="009C2EF2">
        <w:rPr>
          <w:rFonts w:ascii="Times New Roman" w:hAnsi="Times New Roman"/>
          <w:color w:val="231F20"/>
          <w:sz w:val="24"/>
          <w:szCs w:val="24"/>
          <w:lang w:val="az-Latn-AZ"/>
        </w:rPr>
        <w:tab/>
        <w:t>37–42, 102–103</w:t>
      </w:r>
    </w:p>
    <w:p w:rsidR="00D02DD9" w:rsidRPr="009C2EF2" w:rsidRDefault="003C64E0">
      <w:pPr>
        <w:pStyle w:val="a3"/>
        <w:tabs>
          <w:tab w:val="left" w:pos="641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distribüter metodu</w:t>
      </w:r>
      <w:r w:rsidRPr="009C2EF2">
        <w:rPr>
          <w:rFonts w:ascii="Times New Roman" w:hAnsi="Times New Roman"/>
          <w:color w:val="231F20"/>
          <w:sz w:val="24"/>
          <w:szCs w:val="24"/>
          <w:lang w:val="az-Latn-AZ"/>
        </w:rPr>
        <w:tab/>
        <w:t>67–68</w:t>
      </w:r>
    </w:p>
    <w:p w:rsidR="00D02DD9" w:rsidRPr="009C2EF2" w:rsidRDefault="003C64E0">
      <w:pPr>
        <w:pStyle w:val="a3"/>
        <w:tabs>
          <w:tab w:val="left" w:pos="6399"/>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izafi mənfəət metodu</w:t>
      </w:r>
      <w:r w:rsidRPr="009C2EF2">
        <w:rPr>
          <w:rFonts w:ascii="Times New Roman" w:hAnsi="Times New Roman"/>
          <w:color w:val="231F20"/>
          <w:sz w:val="24"/>
          <w:szCs w:val="24"/>
          <w:lang w:val="az-Latn-AZ"/>
        </w:rPr>
        <w:tab/>
        <w:t>62–64</w:t>
      </w:r>
    </w:p>
    <w:p w:rsidR="00D02DD9" w:rsidRPr="009C2EF2" w:rsidRDefault="003C64E0">
      <w:pPr>
        <w:pStyle w:val="a3"/>
        <w:tabs>
          <w:tab w:val="left" w:pos="672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qrinfild metodu</w:t>
      </w:r>
      <w:r w:rsidRPr="009C2EF2">
        <w:rPr>
          <w:rFonts w:ascii="Times New Roman" w:hAnsi="Times New Roman"/>
          <w:color w:val="231F20"/>
          <w:spacing w:val="1"/>
          <w:sz w:val="24"/>
          <w:szCs w:val="24"/>
          <w:lang w:val="az-Latn-AZ"/>
        </w:rPr>
        <w:tab/>
        <w:t>67</w:t>
      </w:r>
    </w:p>
    <w:p w:rsidR="00D02DD9" w:rsidRPr="009C2EF2" w:rsidRDefault="003C64E0">
      <w:pPr>
        <w:pStyle w:val="a3"/>
        <w:tabs>
          <w:tab w:val="left" w:pos="6390"/>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royaltidən azad olma metodu</w:t>
      </w:r>
      <w:r w:rsidRPr="009C2EF2">
        <w:rPr>
          <w:rFonts w:ascii="Times New Roman" w:hAnsi="Times New Roman"/>
          <w:color w:val="231F20"/>
          <w:spacing w:val="1"/>
          <w:sz w:val="24"/>
          <w:szCs w:val="24"/>
          <w:lang w:val="az-Latn-AZ"/>
        </w:rPr>
        <w:tab/>
        <w:t>64–65</w:t>
      </w:r>
    </w:p>
    <w:p w:rsidR="00D02DD9" w:rsidRPr="009C2EF2" w:rsidRDefault="003C64E0">
      <w:pPr>
        <w:pStyle w:val="a3"/>
        <w:tabs>
          <w:tab w:val="left" w:pos="6392"/>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qeyri-maddi aktivin daxil olub-olmadığı metod</w:t>
      </w:r>
      <w:r w:rsidRPr="009C2EF2">
        <w:rPr>
          <w:rFonts w:ascii="Times New Roman" w:hAnsi="Times New Roman"/>
          <w:color w:val="231F20"/>
          <w:spacing w:val="1"/>
          <w:sz w:val="24"/>
          <w:szCs w:val="24"/>
          <w:lang w:val="az-Latn-AZ"/>
        </w:rPr>
        <w:tab/>
        <w:t>66–67</w:t>
      </w:r>
    </w:p>
    <w:p w:rsidR="00D02DD9" w:rsidRPr="009C2EF2" w:rsidRDefault="003C64E0">
      <w:pPr>
        <w:pStyle w:val="a3"/>
        <w:tabs>
          <w:tab w:val="left" w:pos="6437"/>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verilmiş informasiya</w:t>
      </w:r>
      <w:r w:rsidRPr="009C2EF2">
        <w:rPr>
          <w:rFonts w:ascii="Times New Roman" w:hAnsi="Times New Roman"/>
          <w:color w:val="231F20"/>
          <w:sz w:val="24"/>
          <w:szCs w:val="24"/>
          <w:lang w:val="az-Latn-AZ"/>
        </w:rPr>
        <w:tab/>
        <w:t>12–13</w:t>
      </w:r>
    </w:p>
    <w:p w:rsidR="00D02DD9" w:rsidRPr="009C2EF2" w:rsidRDefault="003C64E0">
      <w:pPr>
        <w:pStyle w:val="a3"/>
        <w:tabs>
          <w:tab w:val="left" w:pos="6427"/>
        </w:tabs>
        <w:kinsoku w:val="0"/>
        <w:overflowPunct w:val="0"/>
        <w:spacing w:before="9"/>
        <w:ind w:left="173"/>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 (BQS 210)</w:t>
      </w:r>
      <w:r w:rsidRPr="009C2EF2">
        <w:rPr>
          <w:rFonts w:ascii="Times New Roman" w:hAnsi="Times New Roman"/>
          <w:color w:val="231F20"/>
          <w:sz w:val="24"/>
          <w:szCs w:val="24"/>
          <w:lang w:val="az-Latn-AZ"/>
        </w:rPr>
        <w:tab/>
        <w:t>57–73</w:t>
      </w:r>
    </w:p>
    <w:p w:rsidR="00D02DD9" w:rsidRPr="009C2EF2" w:rsidRDefault="003C64E0">
      <w:pPr>
        <w:pStyle w:val="a3"/>
        <w:tabs>
          <w:tab w:val="left" w:pos="6394"/>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49–50</w:t>
      </w:r>
    </w:p>
    <w:p w:rsidR="00D02DD9" w:rsidRPr="009C2EF2" w:rsidRDefault="003C64E0">
      <w:pPr>
        <w:pStyle w:val="a3"/>
        <w:tabs>
          <w:tab w:val="left" w:pos="6426"/>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74–75</w:t>
      </w:r>
    </w:p>
    <w:p w:rsidR="00D02DD9" w:rsidRPr="009C2EF2" w:rsidRDefault="003C64E0">
      <w:pPr>
        <w:pStyle w:val="a3"/>
        <w:tabs>
          <w:tab w:val="left" w:pos="6412"/>
        </w:tabs>
        <w:kinsoku w:val="0"/>
        <w:overflowPunct w:val="0"/>
        <w:spacing w:before="9"/>
        <w:ind w:left="740"/>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81–82</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80"/>
        <w:ind w:left="0" w:right="801"/>
        <w:jc w:val="center"/>
        <w:rPr>
          <w:rFonts w:ascii="Times New Roman" w:hAnsi="Times New Roman"/>
          <w:color w:val="000000"/>
          <w:sz w:val="24"/>
          <w:szCs w:val="24"/>
          <w:lang w:val="az-Latn-AZ"/>
        </w:rPr>
      </w:pPr>
      <w:r w:rsidRPr="009C2EF2">
        <w:rPr>
          <w:rFonts w:ascii="Times New Roman" w:hAnsi="Times New Roman"/>
          <w:color w:val="231F20"/>
          <w:spacing w:val="-14"/>
          <w:sz w:val="24"/>
          <w:szCs w:val="24"/>
          <w:lang w:val="az-Latn-AZ"/>
        </w:rPr>
        <w:t>111</w:t>
      </w:r>
    </w:p>
    <w:p w:rsidR="00D02DD9" w:rsidRPr="009C2EF2" w:rsidRDefault="00D02DD9">
      <w:pPr>
        <w:pStyle w:val="a3"/>
        <w:kinsoku w:val="0"/>
        <w:overflowPunct w:val="0"/>
        <w:spacing w:before="80"/>
        <w:ind w:left="0" w:right="801"/>
        <w:jc w:val="center"/>
        <w:rPr>
          <w:rFonts w:ascii="Times New Roman" w:hAnsi="Times New Roman"/>
          <w:color w:val="000000"/>
          <w:sz w:val="24"/>
          <w:szCs w:val="24"/>
          <w:lang w:val="az-Latn-AZ"/>
        </w:rPr>
        <w:sectPr w:rsidR="00D02DD9" w:rsidRPr="009C2EF2">
          <w:footerReference w:type="default" r:id="rId117"/>
          <w:pgSz w:w="8850" w:h="13270"/>
          <w:pgMar w:top="0" w:right="0" w:bottom="0" w:left="960" w:header="0" w:footer="0" w:gutter="0"/>
          <w:cols w:space="720" w:equalWidth="0">
            <w:col w:w="789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70368" behindDoc="1" locked="0" layoutInCell="0" allowOverlap="1">
                <wp:simplePos x="0" y="0"/>
                <wp:positionH relativeFrom="page">
                  <wp:posOffset>0</wp:posOffset>
                </wp:positionH>
                <wp:positionV relativeFrom="page">
                  <wp:posOffset>0</wp:posOffset>
                </wp:positionV>
                <wp:extent cx="432435" cy="8424545"/>
                <wp:effectExtent l="0" t="0" r="0" b="0"/>
                <wp:wrapNone/>
                <wp:docPr id="28"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BF2199" id="Freeform 241" o:spid="_x0000_s1026" style="position:absolute;margin-left:0;margin-top:0;width:34.05pt;height:663.3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79"/>
        <w:ind w:left="3132"/>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tabs>
          <w:tab w:val="right" w:pos="7710"/>
        </w:tabs>
        <w:kinsoku w:val="0"/>
        <w:overflowPunct w:val="0"/>
        <w:spacing w:before="77"/>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69–73</w:t>
      </w:r>
    </w:p>
    <w:p w:rsidR="00D02DD9" w:rsidRPr="009C2EF2" w:rsidRDefault="003C64E0">
      <w:pPr>
        <w:pStyle w:val="a3"/>
        <w:tabs>
          <w:tab w:val="left" w:pos="6898"/>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diskont faiz dərəcəsi/ gəlirin faiz dərəcəsi</w:t>
      </w:r>
      <w:r w:rsidRPr="009C2EF2">
        <w:rPr>
          <w:rFonts w:ascii="Times New Roman" w:hAnsi="Times New Roman"/>
          <w:color w:val="231F20"/>
          <w:sz w:val="24"/>
          <w:szCs w:val="24"/>
          <w:lang w:val="az-Latn-AZ"/>
        </w:rPr>
        <w:tab/>
        <w:t>69–70, 73</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faydalı istismar müddəti</w:t>
      </w:r>
      <w:r w:rsidRPr="009C2EF2">
        <w:rPr>
          <w:rFonts w:ascii="Times New Roman" w:hAnsi="Times New Roman"/>
          <w:color w:val="231F20"/>
          <w:spacing w:val="1"/>
          <w:sz w:val="24"/>
          <w:szCs w:val="24"/>
          <w:lang w:val="az-Latn-AZ"/>
        </w:rPr>
        <w:tab/>
        <w:t>70–72</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Vergi Amortizasiyası Faydası (TAB)</w:t>
      </w:r>
      <w:r w:rsidRPr="009C2EF2">
        <w:rPr>
          <w:rFonts w:ascii="Times New Roman" w:hAnsi="Times New Roman"/>
          <w:color w:val="231F20"/>
          <w:spacing w:val="2"/>
          <w:sz w:val="24"/>
          <w:szCs w:val="24"/>
          <w:lang w:val="az-Latn-AZ"/>
        </w:rPr>
        <w:tab/>
        <w:t>72–73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 və metodları</w:t>
      </w:r>
      <w:r w:rsidRPr="009C2EF2">
        <w:rPr>
          <w:rFonts w:ascii="Times New Roman" w:hAnsi="Times New Roman"/>
          <w:color w:val="231F20"/>
          <w:sz w:val="24"/>
          <w:szCs w:val="24"/>
          <w:lang w:val="az-Latn-AZ"/>
        </w:rPr>
        <w:tab/>
        <w:t>60–69</w:t>
      </w:r>
    </w:p>
    <w:p w:rsidR="00D02DD9" w:rsidRPr="009C2EF2" w:rsidRDefault="003C64E0">
      <w:pPr>
        <w:pStyle w:val="a3"/>
        <w:tabs>
          <w:tab w:val="left" w:pos="7416"/>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Beynəlxalq Qiymətləndirmə Standartları Şurası </w:t>
      </w:r>
      <w:r w:rsidRPr="009C2EF2">
        <w:rPr>
          <w:rFonts w:ascii="Times New Roman" w:hAnsi="Times New Roman"/>
          <w:color w:val="231F20"/>
          <w:sz w:val="24"/>
          <w:szCs w:val="24"/>
          <w:lang w:val="az-Latn-AZ"/>
        </w:rPr>
        <w:tab/>
        <w:t>1, 2</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Beynəlxalq Qiymətləndirmə Standartları Şurası (BQSŞ)</w:t>
      </w:r>
      <w:r w:rsidRPr="009C2EF2">
        <w:rPr>
          <w:rFonts w:ascii="Times New Roman" w:hAnsi="Times New Roman"/>
          <w:color w:val="231F20"/>
          <w:sz w:val="24"/>
          <w:szCs w:val="24"/>
          <w:lang w:val="az-Latn-AZ"/>
        </w:rPr>
        <w:tab/>
        <w:t>1</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Tədqiqatlar və Uyğunluq (BQS 102)</w:t>
      </w:r>
      <w:r w:rsidRPr="009C2EF2">
        <w:rPr>
          <w:rFonts w:ascii="Times New Roman" w:hAnsi="Times New Roman"/>
          <w:color w:val="231F20"/>
          <w:sz w:val="24"/>
          <w:szCs w:val="24"/>
          <w:lang w:val="az-Latn-AZ"/>
        </w:rPr>
        <w:tab/>
        <w:t>12–13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59</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75–78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82</w:t>
      </w:r>
    </w:p>
    <w:p w:rsidR="00D02DD9" w:rsidRPr="009C2EF2" w:rsidRDefault="003C64E0">
      <w:pPr>
        <w:pStyle w:val="a3"/>
        <w:tabs>
          <w:tab w:val="left" w:pos="720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investisiya əmlakı</w:t>
      </w:r>
      <w:r w:rsidRPr="009C2EF2">
        <w:rPr>
          <w:rFonts w:ascii="Times New Roman" w:hAnsi="Times New Roman"/>
          <w:color w:val="231F20"/>
          <w:spacing w:val="-1"/>
          <w:sz w:val="24"/>
          <w:szCs w:val="24"/>
          <w:lang w:val="az-Latn-AZ"/>
        </w:rPr>
        <w:tab/>
        <w:t>84, 95</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investisiya dəyəri</w:t>
      </w:r>
      <w:r w:rsidRPr="009C2EF2">
        <w:rPr>
          <w:rFonts w:ascii="Times New Roman" w:hAnsi="Times New Roman"/>
          <w:color w:val="231F20"/>
          <w:spacing w:val="-1"/>
          <w:sz w:val="24"/>
          <w:szCs w:val="24"/>
          <w:lang w:val="az-Latn-AZ"/>
        </w:rPr>
        <w:tab/>
        <w:t>22</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BQS Aktivlər üzrə Standartlar</w:t>
      </w:r>
      <w:r w:rsidRPr="009C2EF2">
        <w:rPr>
          <w:rFonts w:ascii="Times New Roman" w:hAnsi="Times New Roman"/>
          <w:color w:val="231F20"/>
          <w:sz w:val="24"/>
          <w:szCs w:val="24"/>
          <w:lang w:val="az-Latn-AZ"/>
        </w:rPr>
        <w:tab/>
        <w:t>2</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 (BQS 200)</w:t>
      </w:r>
      <w:r w:rsidRPr="009C2EF2">
        <w:rPr>
          <w:rFonts w:ascii="Times New Roman" w:hAnsi="Times New Roman"/>
          <w:color w:val="231F20"/>
          <w:sz w:val="24"/>
          <w:szCs w:val="24"/>
          <w:lang w:val="az-Latn-AZ"/>
        </w:rPr>
        <w:tab/>
        <w:t>49–56</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 (BQS 410)</w:t>
      </w:r>
      <w:r w:rsidRPr="009C2EF2">
        <w:rPr>
          <w:rFonts w:ascii="Times New Roman" w:hAnsi="Times New Roman"/>
          <w:color w:val="231F20"/>
          <w:sz w:val="24"/>
          <w:szCs w:val="24"/>
          <w:lang w:val="az-Latn-AZ"/>
        </w:rPr>
        <w:tab/>
        <w:t>88–98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Maliyyə alətləri (BQS 500)</w:t>
      </w:r>
      <w:r w:rsidRPr="009C2EF2">
        <w:rPr>
          <w:rFonts w:ascii="Times New Roman" w:hAnsi="Times New Roman"/>
          <w:color w:val="231F20"/>
          <w:sz w:val="24"/>
          <w:szCs w:val="24"/>
          <w:lang w:val="az-Latn-AZ"/>
        </w:rPr>
        <w:tab/>
        <w:t>99–107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 (BQS 210)</w:t>
      </w:r>
      <w:r w:rsidRPr="009C2EF2">
        <w:rPr>
          <w:rFonts w:ascii="Times New Roman" w:hAnsi="Times New Roman"/>
          <w:color w:val="231F20"/>
          <w:sz w:val="24"/>
          <w:szCs w:val="24"/>
          <w:lang w:val="az-Latn-AZ"/>
        </w:rPr>
        <w:tab/>
        <w:t>57–73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İstehsalat vasitələri, maşın və avadanlıqlar (BQS 300)</w:t>
      </w:r>
      <w:r w:rsidRPr="009C2EF2">
        <w:rPr>
          <w:rFonts w:ascii="Times New Roman" w:hAnsi="Times New Roman"/>
          <w:color w:val="231F20"/>
          <w:spacing w:val="-1"/>
          <w:sz w:val="24"/>
          <w:szCs w:val="24"/>
          <w:lang w:val="az-Latn-AZ"/>
        </w:rPr>
        <w:tab/>
        <w:t>74–80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 (BQS 400)</w:t>
      </w:r>
      <w:r w:rsidRPr="009C2EF2">
        <w:rPr>
          <w:rFonts w:ascii="Times New Roman" w:hAnsi="Times New Roman"/>
          <w:color w:val="231F20"/>
          <w:sz w:val="24"/>
          <w:szCs w:val="24"/>
          <w:lang w:val="az-Latn-AZ"/>
        </w:rPr>
        <w:tab/>
        <w:t>81–87</w:t>
      </w:r>
    </w:p>
    <w:p w:rsidR="00D02DD9" w:rsidRPr="009C2EF2" w:rsidRDefault="003C64E0">
      <w:pPr>
        <w:pStyle w:val="a3"/>
        <w:tabs>
          <w:tab w:val="left" w:pos="6777"/>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BQS Təriflər</w:t>
      </w:r>
      <w:r w:rsidRPr="009C2EF2">
        <w:rPr>
          <w:rFonts w:ascii="Times New Roman" w:hAnsi="Times New Roman"/>
          <w:color w:val="231F20"/>
          <w:sz w:val="24"/>
          <w:szCs w:val="24"/>
          <w:lang w:val="az-Latn-AZ"/>
        </w:rPr>
        <w:tab/>
        <w:t>3–5, 18–22</w:t>
      </w:r>
    </w:p>
    <w:p w:rsidR="00D02DD9" w:rsidRPr="009C2EF2" w:rsidRDefault="003C64E0">
      <w:pPr>
        <w:pStyle w:val="a3"/>
        <w:tabs>
          <w:tab w:val="left" w:pos="7199"/>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Beynəlxalq Qiymətləndirmə Standartları (BQS) Çərçivəsi</w:t>
      </w:r>
      <w:r w:rsidRPr="009C2EF2">
        <w:rPr>
          <w:rFonts w:ascii="Times New Roman" w:hAnsi="Times New Roman"/>
          <w:color w:val="231F20"/>
          <w:sz w:val="24"/>
          <w:szCs w:val="24"/>
          <w:lang w:val="az-Latn-AZ"/>
        </w:rPr>
        <w:tab/>
        <w:t>2, 6–7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BQS Əsas Standartlar</w:t>
      </w:r>
      <w:r w:rsidRPr="009C2EF2">
        <w:rPr>
          <w:rFonts w:ascii="Times New Roman" w:hAnsi="Times New Roman"/>
          <w:color w:val="231F20"/>
          <w:sz w:val="24"/>
          <w:szCs w:val="24"/>
          <w:lang w:val="az-Latn-AZ"/>
        </w:rPr>
        <w:tab/>
        <w:t>2</w:t>
      </w:r>
    </w:p>
    <w:p w:rsidR="00D02DD9" w:rsidRPr="009C2EF2" w:rsidRDefault="0075026C">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1584" behindDoc="0" locked="0" layoutInCell="0" allowOverlap="1">
                <wp:simplePos x="0" y="0"/>
                <wp:positionH relativeFrom="page">
                  <wp:posOffset>156845</wp:posOffset>
                </wp:positionH>
                <wp:positionV relativeFrom="paragraph">
                  <wp:posOffset>98425</wp:posOffset>
                </wp:positionV>
                <wp:extent cx="152400" cy="488950"/>
                <wp:effectExtent l="0" t="0" r="0" b="0"/>
                <wp:wrapNone/>
                <wp:docPr id="2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50" type="#_x0000_t202" style="position:absolute;left:0;text-align:left;margin-left:12.35pt;margin-top:7.75pt;width:12pt;height:3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" o:allowincell="f" filled="f" stroked="f">
                <v:textbox style="layout-flow:vertical;mso-layout-flow-alt:bottom-to-top"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dəyər bazaları (BQS 104)</w:t>
      </w:r>
      <w:r w:rsidR="003C64E0" w:rsidRPr="009C2EF2">
        <w:rPr>
          <w:rFonts w:ascii="Times New Roman" w:hAnsi="Times New Roman"/>
          <w:color w:val="231F20"/>
          <w:sz w:val="24"/>
          <w:szCs w:val="24"/>
          <w:lang w:val="az-Latn-AZ"/>
        </w:rPr>
        <w:tab/>
        <w:t>16–28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Tədqiqatlar və Uyğunluq (BQS 102)</w:t>
      </w:r>
      <w:r w:rsidRPr="009C2EF2">
        <w:rPr>
          <w:rFonts w:ascii="Times New Roman" w:hAnsi="Times New Roman"/>
          <w:color w:val="231F20"/>
          <w:sz w:val="24"/>
          <w:szCs w:val="24"/>
          <w:lang w:val="az-Latn-AZ"/>
        </w:rPr>
        <w:tab/>
        <w:t>12–13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Hesabat (BQS 103)</w:t>
      </w:r>
      <w:r w:rsidRPr="009C2EF2">
        <w:rPr>
          <w:rFonts w:ascii="Times New Roman" w:hAnsi="Times New Roman"/>
          <w:color w:val="231F20"/>
          <w:spacing w:val="1"/>
          <w:sz w:val="24"/>
          <w:szCs w:val="24"/>
          <w:lang w:val="az-Latn-AZ"/>
        </w:rPr>
        <w:tab/>
        <w:t>14–15</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İşin əhatə dairəsi (BQS 101)</w:t>
      </w:r>
      <w:r w:rsidRPr="009C2EF2">
        <w:rPr>
          <w:rFonts w:ascii="Times New Roman" w:hAnsi="Times New Roman"/>
          <w:color w:val="231F20"/>
          <w:spacing w:val="1"/>
          <w:sz w:val="24"/>
          <w:szCs w:val="24"/>
          <w:lang w:val="az-Latn-AZ"/>
        </w:rPr>
        <w:tab/>
        <w:t>9–11</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Yanaşmaları və Metodları (BQS 105)</w:t>
      </w:r>
      <w:r w:rsidRPr="009C2EF2">
        <w:rPr>
          <w:rFonts w:ascii="Times New Roman" w:hAnsi="Times New Roman"/>
          <w:color w:val="231F20"/>
          <w:spacing w:val="-1"/>
          <w:sz w:val="24"/>
          <w:szCs w:val="24"/>
          <w:lang w:val="az-Latn-AZ"/>
        </w:rPr>
        <w:tab/>
        <w:t>29–47</w:t>
      </w:r>
    </w:p>
    <w:p w:rsidR="00D02DD9" w:rsidRPr="009C2EF2" w:rsidRDefault="003C64E0">
      <w:pPr>
        <w:pStyle w:val="Heading21"/>
        <w:kinsoku w:val="0"/>
        <w:overflowPunct w:val="0"/>
        <w:spacing w:before="240"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J</w:t>
      </w:r>
    </w:p>
    <w:p w:rsidR="00D02DD9" w:rsidRPr="009C2EF2" w:rsidRDefault="003C64E0">
      <w:pPr>
        <w:pStyle w:val="a3"/>
        <w:tabs>
          <w:tab w:val="right" w:pos="7710"/>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yurisdiksiya</w:t>
      </w:r>
      <w:r w:rsidRPr="009C2EF2">
        <w:rPr>
          <w:rFonts w:ascii="Times New Roman" w:hAnsi="Times New Roman"/>
          <w:color w:val="231F20"/>
          <w:sz w:val="24"/>
          <w:szCs w:val="24"/>
          <w:lang w:val="az-Latn-AZ"/>
        </w:rPr>
        <w:tab/>
        <w:t>3</w:t>
      </w:r>
    </w:p>
    <w:p w:rsidR="00D02DD9" w:rsidRPr="009C2EF2" w:rsidRDefault="003C64E0">
      <w:pPr>
        <w:pStyle w:val="Heading21"/>
        <w:kinsoku w:val="0"/>
        <w:overflowPunct w:val="0"/>
        <w:spacing w:before="240"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L</w:t>
      </w:r>
    </w:p>
    <w:p w:rsidR="00D02DD9" w:rsidRPr="009C2EF2" w:rsidRDefault="003C64E0">
      <w:pPr>
        <w:pStyle w:val="a3"/>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ərazi,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tikinti obyekti (BQS 410); Daşınmaz Əmlak üzrə Maraqlar (BQS 400)</w:t>
      </w:r>
    </w:p>
    <w:p w:rsidR="00D02DD9" w:rsidRPr="009C2EF2" w:rsidRDefault="00D02DD9">
      <w:pPr>
        <w:pStyle w:val="a3"/>
        <w:kinsoku w:val="0"/>
        <w:overflowPunct w:val="0"/>
        <w:spacing w:before="2"/>
        <w:ind w:left="0"/>
        <w:rPr>
          <w:rFonts w:ascii="Times New Roman" w:hAnsi="Times New Roman"/>
          <w:sz w:val="24"/>
          <w:szCs w:val="24"/>
          <w:lang w:val="az-Latn-AZ"/>
        </w:rPr>
      </w:pPr>
    </w:p>
    <w:tbl>
      <w:tblPr>
        <w:tblW w:w="0" w:type="auto"/>
        <w:tblInd w:w="909" w:type="dxa"/>
        <w:tblLayout w:type="fixed"/>
        <w:tblCellMar>
          <w:left w:w="0" w:type="dxa"/>
          <w:right w:w="0" w:type="dxa"/>
        </w:tblCellMar>
        <w:tblLook w:val="04A0" w:firstRow="1" w:lastRow="0" w:firstColumn="1" w:lastColumn="0" w:noHBand="0" w:noVBand="1"/>
      </w:tblPr>
      <w:tblGrid>
        <w:gridCol w:w="4217"/>
        <w:gridCol w:w="2639"/>
      </w:tblGrid>
      <w:tr w:rsidR="00D02DD9" w:rsidRPr="009C2EF2">
        <w:trPr>
          <w:trHeight w:hRule="exact" w:val="194"/>
        </w:trPr>
        <w:tc>
          <w:tcPr>
            <w:tcW w:w="4217" w:type="dxa"/>
            <w:tcBorders>
              <w:top w:val="nil"/>
              <w:left w:val="nil"/>
              <w:bottom w:val="nil"/>
              <w:right w:val="nil"/>
            </w:tcBorders>
          </w:tcPr>
          <w:p w:rsidR="00D02DD9" w:rsidRPr="009C2EF2" w:rsidRDefault="003C64E0">
            <w:pPr>
              <w:pStyle w:val="TableParagraph"/>
              <w:kinsoku w:val="0"/>
              <w:overflowPunct w:val="0"/>
              <w:spacing w:line="180" w:lineRule="exact"/>
              <w:ind w:left="55"/>
              <w:rPr>
                <w:sz w:val="24"/>
                <w:szCs w:val="24"/>
                <w:lang w:val="az-Latn-AZ"/>
              </w:rPr>
            </w:pPr>
            <w:r w:rsidRPr="009C2EF2">
              <w:rPr>
                <w:color w:val="231F20"/>
                <w:sz w:val="24"/>
                <w:szCs w:val="24"/>
                <w:lang w:val="az-Latn-AZ"/>
              </w:rPr>
              <w:t>icarə öhdəlikləri</w:t>
            </w:r>
          </w:p>
        </w:tc>
        <w:tc>
          <w:tcPr>
            <w:tcW w:w="2639" w:type="dxa"/>
            <w:tcBorders>
              <w:top w:val="nil"/>
              <w:left w:val="nil"/>
              <w:bottom w:val="nil"/>
              <w:right w:val="nil"/>
            </w:tcBorders>
          </w:tcPr>
          <w:p w:rsidR="00D02DD9" w:rsidRPr="009C2EF2" w:rsidRDefault="003C64E0">
            <w:pPr>
              <w:pStyle w:val="TableParagraph"/>
              <w:kinsoku w:val="0"/>
              <w:overflowPunct w:val="0"/>
              <w:spacing w:line="180" w:lineRule="exact"/>
              <w:ind w:left="1455"/>
              <w:rPr>
                <w:sz w:val="24"/>
                <w:szCs w:val="24"/>
                <w:lang w:val="az-Latn-AZ"/>
              </w:rPr>
            </w:pPr>
            <w:r w:rsidRPr="009C2EF2">
              <w:rPr>
                <w:color w:val="231F20"/>
                <w:sz w:val="24"/>
                <w:szCs w:val="24"/>
                <w:lang w:val="az-Latn-AZ"/>
              </w:rPr>
              <w:t>21–22, 86–87</w:t>
            </w:r>
          </w:p>
        </w:tc>
      </w:tr>
      <w:tr w:rsidR="00D02DD9" w:rsidRPr="009C2EF2">
        <w:trPr>
          <w:trHeight w:hRule="exact" w:val="216"/>
        </w:trPr>
        <w:tc>
          <w:tcPr>
            <w:tcW w:w="4217"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istehsalat vasitələri, maşın və avadanlıqlar</w:t>
            </w:r>
          </w:p>
        </w:tc>
        <w:tc>
          <w:tcPr>
            <w:tcW w:w="2639"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5"/>
                <w:sz w:val="24"/>
                <w:szCs w:val="24"/>
                <w:lang w:val="az-Latn-AZ"/>
              </w:rPr>
              <w:t>74, 80</w:t>
            </w:r>
          </w:p>
        </w:tc>
      </w:tr>
      <w:tr w:rsidR="00D02DD9" w:rsidRPr="009C2EF2">
        <w:trPr>
          <w:trHeight w:hRule="exact" w:val="216"/>
        </w:trPr>
        <w:tc>
          <w:tcPr>
            <w:tcW w:w="4217"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leverec</w:t>
            </w:r>
          </w:p>
        </w:tc>
        <w:tc>
          <w:tcPr>
            <w:tcW w:w="2639"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1"/>
                <w:w w:val="95"/>
                <w:sz w:val="24"/>
                <w:szCs w:val="24"/>
                <w:lang w:val="az-Latn-AZ"/>
              </w:rPr>
              <w:t>105</w:t>
            </w:r>
          </w:p>
        </w:tc>
      </w:tr>
      <w:tr w:rsidR="00D02DD9" w:rsidRPr="009C2EF2">
        <w:trPr>
          <w:trHeight w:hRule="exact" w:val="216"/>
        </w:trPr>
        <w:tc>
          <w:tcPr>
            <w:tcW w:w="4217"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 xml:space="preserve">passivlər </w:t>
            </w:r>
            <w:r w:rsidRPr="009C2EF2">
              <w:rPr>
                <w:i/>
                <w:color w:val="231F20"/>
                <w:sz w:val="24"/>
                <w:szCs w:val="24"/>
                <w:lang w:val="az-Latn-AZ"/>
              </w:rPr>
              <w:t>bax</w:t>
            </w:r>
            <w:r w:rsidRPr="009C2EF2">
              <w:rPr>
                <w:color w:val="231F20"/>
                <w:sz w:val="24"/>
                <w:szCs w:val="24"/>
                <w:lang w:val="az-Latn-AZ"/>
              </w:rPr>
              <w:t>: aktivlər və passivlər</w:t>
            </w:r>
          </w:p>
        </w:tc>
        <w:tc>
          <w:tcPr>
            <w:tcW w:w="2639" w:type="dxa"/>
            <w:tcBorders>
              <w:top w:val="nil"/>
              <w:left w:val="nil"/>
              <w:bottom w:val="nil"/>
              <w:right w:val="nil"/>
            </w:tcBorders>
          </w:tcPr>
          <w:p w:rsidR="00D02DD9" w:rsidRPr="009C2EF2" w:rsidRDefault="00D02DD9">
            <w:pPr>
              <w:rPr>
                <w:sz w:val="24"/>
                <w:szCs w:val="24"/>
                <w:lang w:val="az-Latn-AZ"/>
              </w:rPr>
            </w:pPr>
          </w:p>
        </w:tc>
      </w:tr>
      <w:tr w:rsidR="00D02DD9" w:rsidRPr="009C2EF2">
        <w:trPr>
          <w:trHeight w:hRule="exact" w:val="216"/>
        </w:trPr>
        <w:tc>
          <w:tcPr>
            <w:tcW w:w="4217"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t>ləğvetmə dəyəri</w:t>
            </w:r>
          </w:p>
        </w:tc>
        <w:tc>
          <w:tcPr>
            <w:tcW w:w="2639"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pacing w:val="1"/>
                <w:sz w:val="24"/>
                <w:szCs w:val="24"/>
                <w:lang w:val="az-Latn-AZ"/>
              </w:rPr>
              <w:t>22</w:t>
            </w:r>
          </w:p>
        </w:tc>
      </w:tr>
      <w:tr w:rsidR="00D02DD9" w:rsidRPr="009C2EF2">
        <w:trPr>
          <w:trHeight w:hRule="exact" w:val="298"/>
        </w:trPr>
        <w:tc>
          <w:tcPr>
            <w:tcW w:w="4217" w:type="dxa"/>
            <w:tcBorders>
              <w:top w:val="nil"/>
              <w:left w:val="nil"/>
              <w:bottom w:val="nil"/>
              <w:right w:val="nil"/>
            </w:tcBorders>
          </w:tcPr>
          <w:p w:rsidR="00D02DD9" w:rsidRPr="009C2EF2" w:rsidRDefault="003C64E0">
            <w:pPr>
              <w:pStyle w:val="TableParagraph"/>
              <w:kinsoku w:val="0"/>
              <w:overflowPunct w:val="0"/>
              <w:spacing w:line="202" w:lineRule="exact"/>
              <w:ind w:left="55"/>
              <w:rPr>
                <w:sz w:val="24"/>
                <w:szCs w:val="24"/>
                <w:lang w:val="az-Latn-AZ"/>
              </w:rPr>
            </w:pPr>
            <w:r w:rsidRPr="009C2EF2">
              <w:rPr>
                <w:color w:val="231F20"/>
                <w:sz w:val="24"/>
                <w:szCs w:val="24"/>
                <w:lang w:val="az-Latn-AZ"/>
              </w:rPr>
              <w:lastRenderedPageBreak/>
              <w:t>ləğvetmə</w:t>
            </w:r>
          </w:p>
        </w:tc>
        <w:tc>
          <w:tcPr>
            <w:tcW w:w="2639" w:type="dxa"/>
            <w:tcBorders>
              <w:top w:val="nil"/>
              <w:left w:val="nil"/>
              <w:bottom w:val="nil"/>
              <w:right w:val="nil"/>
            </w:tcBorders>
          </w:tcPr>
          <w:p w:rsidR="00D02DD9" w:rsidRPr="009C2EF2" w:rsidRDefault="003C64E0">
            <w:pPr>
              <w:pStyle w:val="TableParagraph"/>
              <w:kinsoku w:val="0"/>
              <w:overflowPunct w:val="0"/>
              <w:spacing w:line="202" w:lineRule="exact"/>
              <w:ind w:right="53"/>
              <w:jc w:val="right"/>
              <w:rPr>
                <w:sz w:val="24"/>
                <w:szCs w:val="24"/>
                <w:lang w:val="az-Latn-AZ"/>
              </w:rPr>
            </w:pPr>
            <w:r w:rsidRPr="009C2EF2">
              <w:rPr>
                <w:color w:val="231F20"/>
                <w:sz w:val="24"/>
                <w:szCs w:val="24"/>
                <w:lang w:val="az-Latn-AZ"/>
              </w:rPr>
              <w:t>106</w:t>
            </w:r>
          </w:p>
        </w:tc>
      </w:tr>
    </w:tbl>
    <w:p w:rsidR="00D02DD9" w:rsidRPr="009C2EF2" w:rsidRDefault="003C64E0">
      <w:pPr>
        <w:pStyle w:val="Heading21"/>
        <w:kinsoku w:val="0"/>
        <w:overflowPunct w:val="0"/>
        <w:spacing w:before="144"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M</w:t>
      </w:r>
    </w:p>
    <w:p w:rsidR="00D02DD9" w:rsidRPr="009C2EF2" w:rsidRDefault="003C64E0">
      <w:pPr>
        <w:pStyle w:val="a3"/>
        <w:tabs>
          <w:tab w:val="left" w:pos="7408"/>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fəaliyyəti</w:t>
      </w:r>
      <w:r w:rsidRPr="009C2EF2">
        <w:rPr>
          <w:rFonts w:ascii="Times New Roman" w:hAnsi="Times New Roman"/>
          <w:color w:val="231F20"/>
          <w:sz w:val="24"/>
          <w:szCs w:val="24"/>
          <w:lang w:val="az-Latn-AZ"/>
        </w:rPr>
        <w:tab/>
        <w:t>106</w:t>
      </w:r>
    </w:p>
    <w:p w:rsidR="00D02DD9" w:rsidRPr="009C2EF2" w:rsidRDefault="003C64E0">
      <w:pPr>
        <w:pStyle w:val="a3"/>
        <w:tabs>
          <w:tab w:val="left" w:pos="6894"/>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w:t>
      </w:r>
      <w:r w:rsidRPr="009C2EF2">
        <w:rPr>
          <w:rFonts w:ascii="Times New Roman" w:hAnsi="Times New Roman"/>
          <w:color w:val="231F20"/>
          <w:sz w:val="24"/>
          <w:szCs w:val="24"/>
          <w:lang w:val="az-Latn-AZ"/>
        </w:rPr>
        <w:tab/>
        <w:t>30–36, 41</w:t>
      </w:r>
    </w:p>
    <w:p w:rsidR="00D02DD9" w:rsidRPr="009C2EF2" w:rsidRDefault="003C64E0">
      <w:pPr>
        <w:pStyle w:val="a3"/>
        <w:tabs>
          <w:tab w:val="left" w:pos="589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uyğunlaşdırmalar</w:t>
      </w:r>
      <w:r w:rsidRPr="009C2EF2">
        <w:rPr>
          <w:rFonts w:ascii="Times New Roman" w:hAnsi="Times New Roman"/>
          <w:color w:val="231F20"/>
          <w:w w:val="95"/>
          <w:sz w:val="24"/>
          <w:szCs w:val="24"/>
          <w:lang w:val="az-Latn-AZ"/>
        </w:rPr>
        <w:tab/>
        <w:t>31, 33, 34–36, 60, 102</w:t>
      </w:r>
    </w:p>
    <w:p w:rsidR="00D02DD9" w:rsidRPr="009C2EF2" w:rsidRDefault="003C64E0">
      <w:pPr>
        <w:pStyle w:val="a3"/>
        <w:tabs>
          <w:tab w:val="left" w:pos="7195"/>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50–51</w:t>
      </w:r>
    </w:p>
    <w:p w:rsidR="00D02DD9" w:rsidRPr="009C2EF2" w:rsidRDefault="003C64E0">
      <w:pPr>
        <w:pStyle w:val="a3"/>
        <w:tabs>
          <w:tab w:val="left" w:pos="7187"/>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90–91</w:t>
      </w:r>
    </w:p>
    <w:p w:rsidR="00D02DD9" w:rsidRPr="009C2EF2" w:rsidRDefault="003C64E0">
      <w:pPr>
        <w:pStyle w:val="a3"/>
        <w:tabs>
          <w:tab w:val="left" w:pos="7412"/>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102</w:t>
      </w:r>
    </w:p>
    <w:p w:rsidR="00D02DD9" w:rsidRPr="009C2EF2" w:rsidRDefault="003C64E0">
      <w:pPr>
        <w:pStyle w:val="a3"/>
        <w:tabs>
          <w:tab w:val="left" w:pos="7186"/>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60–61</w:t>
      </w:r>
    </w:p>
    <w:p w:rsidR="00D02DD9" w:rsidRPr="009C2EF2" w:rsidRDefault="003C64E0">
      <w:pPr>
        <w:pStyle w:val="a3"/>
        <w:tabs>
          <w:tab w:val="left" w:pos="751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78</w:t>
      </w:r>
    </w:p>
    <w:p w:rsidR="00D02DD9" w:rsidRPr="009C2EF2" w:rsidRDefault="003C64E0">
      <w:pPr>
        <w:pStyle w:val="a3"/>
        <w:tabs>
          <w:tab w:val="left" w:pos="7179"/>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83–84</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10"/>
        <w:ind w:left="0"/>
        <w:rPr>
          <w:rFonts w:ascii="Times New Roman" w:hAnsi="Times New Roman"/>
          <w:sz w:val="24"/>
          <w:szCs w:val="24"/>
          <w:lang w:val="az-Latn-AZ"/>
        </w:rPr>
      </w:pPr>
    </w:p>
    <w:p w:rsidR="00D02DD9" w:rsidRPr="009C2EF2" w:rsidRDefault="003C64E0">
      <w:pPr>
        <w:pStyle w:val="a3"/>
        <w:kinsoku w:val="0"/>
        <w:overflowPunct w:val="0"/>
        <w:spacing w:before="79"/>
        <w:ind w:left="789"/>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112</w:t>
      </w:r>
    </w:p>
    <w:p w:rsidR="00D02DD9" w:rsidRPr="009C2EF2" w:rsidRDefault="00D02DD9">
      <w:pPr>
        <w:pStyle w:val="a3"/>
        <w:kinsoku w:val="0"/>
        <w:overflowPunct w:val="0"/>
        <w:spacing w:before="79"/>
        <w:ind w:left="789"/>
        <w:jc w:val="center"/>
        <w:rPr>
          <w:rFonts w:ascii="Times New Roman" w:hAnsi="Times New Roman"/>
          <w:color w:val="000000"/>
          <w:sz w:val="24"/>
          <w:szCs w:val="24"/>
          <w:lang w:val="az-Latn-AZ"/>
        </w:rPr>
        <w:sectPr w:rsidR="00D02DD9" w:rsidRPr="009C2EF2">
          <w:footerReference w:type="default" r:id="rId118"/>
          <w:pgSz w:w="8850" w:h="13270"/>
          <w:pgMar w:top="0" w:right="960" w:bottom="0" w:left="0" w:header="0" w:footer="0" w:gutter="0"/>
          <w:cols w:space="720"/>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71392" behindDoc="1" locked="0" layoutInCell="0" allowOverlap="1">
                <wp:simplePos x="0" y="0"/>
                <wp:positionH relativeFrom="page">
                  <wp:posOffset>5183505</wp:posOffset>
                </wp:positionH>
                <wp:positionV relativeFrom="page">
                  <wp:posOffset>0</wp:posOffset>
                </wp:positionV>
                <wp:extent cx="431800" cy="8423910"/>
                <wp:effectExtent l="0" t="0" r="0" b="0"/>
                <wp:wrapNone/>
                <wp:docPr id="2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6B835E" id="Freeform 243" o:spid="_x0000_s1026" style="position:absolute;margin-left:408.15pt;margin-top:0;width:34pt;height:663.3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9dw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5" w:right="3725"/>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İndeks</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tabs>
          <w:tab w:val="right" w:pos="6860"/>
        </w:tabs>
        <w:kinsoku w:val="0"/>
        <w:overflowPunct w:val="0"/>
        <w:spacing w:before="77"/>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yanaşmasının metodları</w:t>
      </w:r>
      <w:r w:rsidRPr="009C2EF2">
        <w:rPr>
          <w:rFonts w:ascii="Times New Roman" w:hAnsi="Times New Roman"/>
          <w:color w:val="231F20"/>
          <w:sz w:val="24"/>
          <w:szCs w:val="24"/>
          <w:lang w:val="az-Latn-AZ"/>
        </w:rPr>
        <w:tab/>
        <w:t>31–36</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müqayisə edilə bilən əməliyyat metodu</w:t>
      </w:r>
      <w:r w:rsidRPr="009C2EF2">
        <w:rPr>
          <w:rFonts w:ascii="Times New Roman" w:hAnsi="Times New Roman"/>
          <w:color w:val="231F20"/>
          <w:spacing w:val="1"/>
          <w:sz w:val="24"/>
          <w:szCs w:val="24"/>
          <w:lang w:val="az-Latn-AZ"/>
        </w:rPr>
        <w:tab/>
        <w:t>31–33</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ictimaiyyətə açıq müqayisəli rəhbər metod</w:t>
      </w:r>
      <w:r w:rsidRPr="009C2EF2">
        <w:rPr>
          <w:rFonts w:ascii="Times New Roman" w:hAnsi="Times New Roman"/>
          <w:color w:val="231F20"/>
          <w:sz w:val="24"/>
          <w:szCs w:val="24"/>
          <w:lang w:val="az-Latn-AZ"/>
        </w:rPr>
        <w:tab/>
        <w:t>33–35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İştirakçısının Əldəetmə Dəyəri (MPAP-lar)</w:t>
      </w:r>
      <w:r w:rsidRPr="009C2EF2">
        <w:rPr>
          <w:rFonts w:ascii="Times New Roman" w:hAnsi="Times New Roman"/>
          <w:color w:val="231F20"/>
          <w:sz w:val="24"/>
          <w:szCs w:val="24"/>
          <w:lang w:val="az-Latn-AZ"/>
        </w:rPr>
        <w:tab/>
        <w:t>35–36</w:t>
      </w:r>
    </w:p>
    <w:p w:rsidR="00D02DD9" w:rsidRPr="009C2EF2" w:rsidRDefault="003C64E0">
      <w:pPr>
        <w:pStyle w:val="a3"/>
        <w:tabs>
          <w:tab w:val="left" w:pos="6365"/>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icarə haqqı</w:t>
      </w:r>
      <w:r w:rsidRPr="009C2EF2">
        <w:rPr>
          <w:rFonts w:ascii="Times New Roman" w:hAnsi="Times New Roman"/>
          <w:color w:val="231F20"/>
          <w:sz w:val="24"/>
          <w:szCs w:val="24"/>
          <w:lang w:val="az-Latn-AZ"/>
        </w:rPr>
        <w:tab/>
        <w:t>21, 86</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dəyəri</w:t>
      </w:r>
      <w:r w:rsidRPr="009C2EF2">
        <w:rPr>
          <w:rFonts w:ascii="Times New Roman" w:hAnsi="Times New Roman"/>
          <w:color w:val="231F20"/>
          <w:sz w:val="24"/>
          <w:szCs w:val="24"/>
          <w:lang w:val="az-Latn-AZ"/>
        </w:rPr>
        <w:tab/>
        <w:t>18–20</w:t>
      </w:r>
    </w:p>
    <w:p w:rsidR="00D02DD9" w:rsidRPr="009C2EF2" w:rsidRDefault="003C64E0">
      <w:pPr>
        <w:pStyle w:val="a3"/>
        <w:tabs>
          <w:tab w:val="left" w:pos="6352"/>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93, 98</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marketinq xərcləri</w:t>
      </w:r>
      <w:r w:rsidRPr="009C2EF2">
        <w:rPr>
          <w:rFonts w:ascii="Times New Roman" w:hAnsi="Times New Roman"/>
          <w:color w:val="231F20"/>
          <w:sz w:val="24"/>
          <w:szCs w:val="24"/>
          <w:lang w:val="az-Latn-AZ"/>
        </w:rPr>
        <w:tab/>
        <w:t>95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maddi/ maddilik</w:t>
      </w:r>
      <w:r w:rsidRPr="009C2EF2">
        <w:rPr>
          <w:rFonts w:ascii="Times New Roman" w:hAnsi="Times New Roman"/>
          <w:color w:val="231F20"/>
          <w:sz w:val="24"/>
          <w:szCs w:val="24"/>
          <w:lang w:val="az-Latn-AZ"/>
        </w:rPr>
        <w:tab/>
        <w:t>4</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matis qiymətqoyma</w:t>
      </w:r>
      <w:r w:rsidRPr="009C2EF2">
        <w:rPr>
          <w:rFonts w:ascii="Times New Roman" w:hAnsi="Times New Roman"/>
          <w:color w:val="231F20"/>
          <w:spacing w:val="1"/>
          <w:sz w:val="24"/>
          <w:szCs w:val="24"/>
          <w:lang w:val="az-Latn-AZ"/>
        </w:rPr>
        <w:tab/>
        <w:t>32</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ola bilər</w:t>
      </w:r>
      <w:r w:rsidRPr="009C2EF2">
        <w:rPr>
          <w:rFonts w:ascii="Times New Roman" w:hAnsi="Times New Roman"/>
          <w:color w:val="231F20"/>
          <w:spacing w:val="-1"/>
          <w:sz w:val="24"/>
          <w:szCs w:val="24"/>
          <w:lang w:val="az-Latn-AZ"/>
        </w:rPr>
        <w:tab/>
        <w:t>3</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çoxtərəfli yanaşmalar</w:t>
      </w:r>
      <w:r w:rsidRPr="009C2EF2">
        <w:rPr>
          <w:rFonts w:ascii="Times New Roman" w:hAnsi="Times New Roman"/>
          <w:color w:val="231F20"/>
          <w:sz w:val="24"/>
          <w:szCs w:val="24"/>
          <w:lang w:val="az-Latn-AZ"/>
        </w:rPr>
        <w:tab/>
        <w:t>29–30</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malı (məli) şəkilçisi</w:t>
      </w:r>
      <w:r w:rsidRPr="009C2EF2">
        <w:rPr>
          <w:rFonts w:ascii="Times New Roman" w:hAnsi="Times New Roman"/>
          <w:color w:val="231F20"/>
          <w:sz w:val="24"/>
          <w:szCs w:val="24"/>
          <w:lang w:val="az-Latn-AZ"/>
        </w:rPr>
        <w:tab/>
        <w:t>3</w:t>
      </w:r>
    </w:p>
    <w:p w:rsidR="00D02DD9" w:rsidRPr="009C2EF2" w:rsidRDefault="003C64E0">
      <w:pPr>
        <w:pStyle w:val="Heading21"/>
        <w:kinsoku w:val="0"/>
        <w:overflowPunct w:val="0"/>
        <w:spacing w:before="240"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N</w:t>
      </w:r>
    </w:p>
    <w:p w:rsidR="00D02DD9" w:rsidRPr="009C2EF2" w:rsidRDefault="003C64E0">
      <w:pPr>
        <w:pStyle w:val="a3"/>
        <w:tabs>
          <w:tab w:val="right" w:pos="6860"/>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nettinq haqqında sazişlər</w:t>
      </w:r>
      <w:r w:rsidRPr="009C2EF2">
        <w:rPr>
          <w:rFonts w:ascii="Times New Roman" w:hAnsi="Times New Roman"/>
          <w:color w:val="231F20"/>
          <w:sz w:val="24"/>
          <w:szCs w:val="24"/>
          <w:lang w:val="az-Latn-AZ"/>
        </w:rPr>
        <w:tab/>
        <w:t>105</w:t>
      </w:r>
    </w:p>
    <w:p w:rsidR="00D02DD9" w:rsidRPr="009C2EF2" w:rsidRDefault="003C64E0">
      <w:pPr>
        <w:pStyle w:val="Heading21"/>
        <w:kinsoku w:val="0"/>
        <w:overflowPunct w:val="0"/>
        <w:spacing w:before="312"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O</w:t>
      </w:r>
    </w:p>
    <w:p w:rsidR="00D02DD9" w:rsidRPr="009C2EF2" w:rsidRDefault="003C64E0">
      <w:pPr>
        <w:pStyle w:val="a3"/>
        <w:tabs>
          <w:tab w:val="left" w:pos="5656"/>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obyektivlik</w:t>
      </w:r>
      <w:r w:rsidRPr="009C2EF2">
        <w:rPr>
          <w:rFonts w:ascii="Times New Roman" w:hAnsi="Times New Roman"/>
          <w:color w:val="231F20"/>
          <w:w w:val="95"/>
          <w:sz w:val="24"/>
          <w:szCs w:val="24"/>
          <w:lang w:val="az-Latn-AZ"/>
        </w:rPr>
        <w:tab/>
        <w:t>9–10, 106–107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Beynəlxalq Qiymətləndirmə Standartları (BQS) Çərçivəsi</w:t>
      </w:r>
      <w:r w:rsidRPr="009C2EF2">
        <w:rPr>
          <w:rFonts w:ascii="Times New Roman" w:hAnsi="Times New Roman"/>
          <w:color w:val="231F20"/>
          <w:sz w:val="24"/>
          <w:szCs w:val="24"/>
          <w:lang w:val="az-Latn-AZ"/>
        </w:rPr>
        <w:tab/>
        <w:t>6–7</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köhnəlmə</w:t>
      </w:r>
      <w:r w:rsidRPr="009C2EF2">
        <w:rPr>
          <w:rFonts w:ascii="Times New Roman" w:hAnsi="Times New Roman"/>
          <w:color w:val="231F20"/>
          <w:spacing w:val="1"/>
          <w:sz w:val="24"/>
          <w:szCs w:val="24"/>
          <w:lang w:val="az-Latn-AZ"/>
        </w:rPr>
        <w:tab/>
        <w:t>46–47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69</w:t>
      </w:r>
    </w:p>
    <w:p w:rsidR="00D02DD9" w:rsidRPr="009C2EF2" w:rsidRDefault="003C64E0">
      <w:pPr>
        <w:pStyle w:val="a3"/>
        <w:tabs>
          <w:tab w:val="left" w:pos="60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76, 78, 79</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85</w:t>
      </w:r>
    </w:p>
    <w:p w:rsidR="00D02DD9" w:rsidRPr="009C2EF2" w:rsidRDefault="0075026C">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2608" behindDoc="0" locked="0" layoutInCell="0" allowOverlap="1">
                <wp:simplePos x="0" y="0"/>
                <wp:positionH relativeFrom="page">
                  <wp:posOffset>5306695</wp:posOffset>
                </wp:positionH>
                <wp:positionV relativeFrom="paragraph">
                  <wp:posOffset>94615</wp:posOffset>
                </wp:positionV>
                <wp:extent cx="152400" cy="353695"/>
                <wp:effectExtent l="0" t="0" r="0" b="0"/>
                <wp:wrapNone/>
                <wp:docPr id="2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51" type="#_x0000_t202" style="position:absolute;left:0;text-align:left;margin-left:417.85pt;margin-top:7.45pt;width:12pt;height:27.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" o:allowincell="f" filled="f" stroked="f">
                <v:textbox style="layout-flow:vertical"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əməliyyat və qeyri-əməliyyat aktivləri</w:t>
      </w:r>
      <w:r w:rsidR="003C64E0" w:rsidRPr="009C2EF2">
        <w:rPr>
          <w:rFonts w:ascii="Times New Roman" w:hAnsi="Times New Roman"/>
          <w:color w:val="231F20"/>
          <w:sz w:val="24"/>
          <w:szCs w:val="24"/>
          <w:lang w:val="az-Latn-AZ"/>
        </w:rPr>
        <w:tab/>
        <w:t>55–56</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dəyəri</w:t>
      </w:r>
      <w:r w:rsidRPr="009C2EF2">
        <w:rPr>
          <w:rFonts w:ascii="Times New Roman" w:hAnsi="Times New Roman"/>
          <w:color w:val="231F20"/>
          <w:sz w:val="24"/>
          <w:szCs w:val="24"/>
          <w:lang w:val="az-Latn-AZ"/>
        </w:rPr>
        <w:tab/>
        <w:t>50</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nizamlı ləğvetmə</w:t>
      </w:r>
      <w:r w:rsidRPr="009C2EF2">
        <w:rPr>
          <w:rFonts w:ascii="Times New Roman" w:hAnsi="Times New Roman"/>
          <w:color w:val="231F20"/>
          <w:spacing w:val="1"/>
          <w:sz w:val="24"/>
          <w:szCs w:val="24"/>
          <w:lang w:val="az-Latn-AZ"/>
        </w:rPr>
        <w:tab/>
        <w:t>25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mülkiyyət hüquqları</w:t>
      </w:r>
      <w:r w:rsidRPr="009C2EF2">
        <w:rPr>
          <w:rFonts w:ascii="Times New Roman" w:hAnsi="Times New Roman"/>
          <w:color w:val="231F20"/>
          <w:sz w:val="24"/>
          <w:szCs w:val="24"/>
          <w:lang w:val="az-Latn-AZ"/>
        </w:rPr>
        <w:tab/>
        <w:t>54</w:t>
      </w:r>
    </w:p>
    <w:p w:rsidR="00D02DD9" w:rsidRPr="009C2EF2" w:rsidRDefault="003C64E0">
      <w:pPr>
        <w:pStyle w:val="Heading21"/>
        <w:kinsoku w:val="0"/>
        <w:overflowPunct w:val="0"/>
        <w:spacing w:before="240"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P</w:t>
      </w:r>
    </w:p>
    <w:p w:rsidR="00D02DD9" w:rsidRPr="009C2EF2" w:rsidRDefault="003C64E0">
      <w:pPr>
        <w:pStyle w:val="a3"/>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iştirakçı 4</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İstehsalat vasitələri, maşın və avadanlıqlar (BQS 300)</w:t>
      </w:r>
      <w:r w:rsidRPr="009C2EF2">
        <w:rPr>
          <w:rFonts w:ascii="Times New Roman" w:hAnsi="Times New Roman"/>
          <w:color w:val="231F20"/>
          <w:spacing w:val="-1"/>
          <w:sz w:val="24"/>
          <w:szCs w:val="24"/>
          <w:lang w:val="az-Latn-AZ"/>
        </w:rPr>
        <w:tab/>
        <w:t>74–80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sazişləri</w:t>
      </w:r>
      <w:r w:rsidRPr="009C2EF2">
        <w:rPr>
          <w:rFonts w:ascii="Times New Roman" w:hAnsi="Times New Roman"/>
          <w:color w:val="231F20"/>
          <w:spacing w:val="1"/>
          <w:sz w:val="24"/>
          <w:szCs w:val="24"/>
          <w:lang w:val="az-Latn-AZ"/>
        </w:rPr>
        <w:tab/>
        <w:t>80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80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 və metodları</w:t>
      </w:r>
      <w:r w:rsidRPr="009C2EF2">
        <w:rPr>
          <w:rFonts w:ascii="Times New Roman" w:hAnsi="Times New Roman"/>
          <w:color w:val="231F20"/>
          <w:sz w:val="24"/>
          <w:szCs w:val="24"/>
          <w:lang w:val="az-Latn-AZ"/>
        </w:rPr>
        <w:tab/>
        <w:t>78–80</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 şərtləri</w:t>
      </w:r>
      <w:r w:rsidRPr="009C2EF2">
        <w:rPr>
          <w:rFonts w:ascii="Times New Roman" w:hAnsi="Times New Roman"/>
          <w:color w:val="231F20"/>
          <w:sz w:val="24"/>
          <w:szCs w:val="24"/>
          <w:lang w:val="az-Latn-AZ"/>
        </w:rPr>
        <w:tab/>
        <w:t>24–26</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öncəki dövrün əməliyyatları metodu</w:t>
      </w:r>
      <w:r w:rsidRPr="009C2EF2">
        <w:rPr>
          <w:rFonts w:ascii="Times New Roman" w:hAnsi="Times New Roman"/>
          <w:color w:val="231F20"/>
          <w:spacing w:val="1"/>
          <w:sz w:val="24"/>
          <w:szCs w:val="24"/>
          <w:lang w:val="az-Latn-AZ"/>
        </w:rPr>
        <w:tab/>
        <w:t>31</w:t>
      </w:r>
    </w:p>
    <w:p w:rsidR="00D02DD9" w:rsidRPr="009C2EF2" w:rsidRDefault="003C64E0">
      <w:pPr>
        <w:pStyle w:val="a3"/>
        <w:kinsoku w:val="0"/>
        <w:overflowPunct w:val="0"/>
        <w:spacing w:before="9" w:line="250" w:lineRule="auto"/>
        <w:ind w:left="680" w:right="1630" w:hanging="567"/>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 xml:space="preserve">əmlaq üzrə maraqlar, </w:t>
      </w:r>
      <w:r w:rsidRPr="009C2EF2">
        <w:rPr>
          <w:rFonts w:ascii="Times New Roman" w:hAnsi="Times New Roman"/>
          <w:i/>
          <w:color w:val="231F20"/>
          <w:sz w:val="24"/>
          <w:szCs w:val="24"/>
          <w:lang w:val="az-Latn-AZ"/>
        </w:rPr>
        <w:t>bax</w:t>
      </w:r>
      <w:r w:rsidRPr="009C2EF2">
        <w:rPr>
          <w:rFonts w:ascii="Times New Roman" w:hAnsi="Times New Roman"/>
          <w:color w:val="231F20"/>
          <w:spacing w:val="2"/>
          <w:sz w:val="24"/>
          <w:szCs w:val="24"/>
          <w:lang w:val="az-Latn-AZ"/>
        </w:rPr>
        <w:t>: tikinti obyekti (BQS 410); Daşınmaz Əmlak üzrə Maraqlar (BQS 400)</w:t>
      </w:r>
    </w:p>
    <w:p w:rsidR="00D02DD9" w:rsidRPr="009C2EF2" w:rsidRDefault="003C64E0">
      <w:pPr>
        <w:pStyle w:val="a3"/>
        <w:tabs>
          <w:tab w:val="right" w:pos="6860"/>
        </w:tabs>
        <w:kinsoku w:val="0"/>
        <w:overflowPunct w:val="0"/>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proqnozlaşdırılan maliyyə məlumatları (PFI)</w:t>
      </w:r>
      <w:r w:rsidRPr="009C2EF2">
        <w:rPr>
          <w:rFonts w:ascii="Times New Roman" w:hAnsi="Times New Roman"/>
          <w:color w:val="231F20"/>
          <w:sz w:val="24"/>
          <w:szCs w:val="24"/>
          <w:lang w:val="az-Latn-AZ"/>
        </w:rPr>
        <w:tab/>
        <w:t>39–40</w:t>
      </w:r>
    </w:p>
    <w:p w:rsidR="00D02DD9" w:rsidRPr="009C2EF2" w:rsidRDefault="003C64E0">
      <w:pPr>
        <w:pStyle w:val="a3"/>
        <w:tabs>
          <w:tab w:val="left" w:pos="6464"/>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qiymətləndirmənin məqsədi</w:t>
      </w:r>
      <w:r w:rsidRPr="009C2EF2">
        <w:rPr>
          <w:rFonts w:ascii="Times New Roman" w:hAnsi="Times New Roman"/>
          <w:color w:val="231F20"/>
          <w:spacing w:val="1"/>
          <w:sz w:val="24"/>
          <w:szCs w:val="24"/>
          <w:lang w:val="az-Latn-AZ"/>
        </w:rPr>
        <w:tab/>
        <w:t>4, 10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lastRenderedPageBreak/>
        <w:t>müəssisə və müəssisənin iştirak payı</w:t>
      </w:r>
      <w:r w:rsidRPr="009C2EF2">
        <w:rPr>
          <w:rFonts w:ascii="Times New Roman" w:hAnsi="Times New Roman"/>
          <w:color w:val="231F20"/>
          <w:sz w:val="24"/>
          <w:szCs w:val="24"/>
          <w:lang w:val="az-Latn-AZ"/>
        </w:rPr>
        <w:tab/>
        <w:t>50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88–89</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99</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58–59</w:t>
      </w:r>
    </w:p>
    <w:p w:rsidR="00D02DD9" w:rsidRPr="009C2EF2" w:rsidRDefault="003C64E0">
      <w:pPr>
        <w:pStyle w:val="a3"/>
        <w:tabs>
          <w:tab w:val="left" w:pos="6358"/>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76, 77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83</w:t>
      </w:r>
    </w:p>
    <w:p w:rsidR="00D02DD9" w:rsidRPr="009C2EF2" w:rsidRDefault="003C64E0">
      <w:pPr>
        <w:pStyle w:val="a3"/>
        <w:kinsoku w:val="0"/>
        <w:overflowPunct w:val="0"/>
        <w:spacing w:before="240" w:line="274"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R</w:t>
      </w:r>
    </w:p>
    <w:p w:rsidR="00D02DD9" w:rsidRPr="009C2EF2" w:rsidRDefault="003C64E0">
      <w:pPr>
        <w:pStyle w:val="a3"/>
        <w:tabs>
          <w:tab w:val="right" w:pos="6860"/>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 (BQS 400)</w:t>
      </w:r>
      <w:r w:rsidRPr="009C2EF2">
        <w:rPr>
          <w:rFonts w:ascii="Times New Roman" w:hAnsi="Times New Roman"/>
          <w:color w:val="231F20"/>
          <w:sz w:val="24"/>
          <w:szCs w:val="24"/>
          <w:lang w:val="az-Latn-AZ"/>
        </w:rPr>
        <w:tab/>
        <w:t>81–87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86–87</w:t>
      </w:r>
    </w:p>
    <w:p w:rsidR="00D02DD9" w:rsidRPr="009C2EF2" w:rsidRDefault="003C64E0">
      <w:pPr>
        <w:pStyle w:val="a3"/>
        <w:kinsoku w:val="0"/>
        <w:overflowPunct w:val="0"/>
        <w:spacing w:before="692"/>
        <w:ind w:left="2878" w:right="3725"/>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113</w:t>
      </w:r>
    </w:p>
    <w:p w:rsidR="00D02DD9" w:rsidRPr="009C2EF2" w:rsidRDefault="00D02DD9">
      <w:pPr>
        <w:pStyle w:val="a3"/>
        <w:kinsoku w:val="0"/>
        <w:overflowPunct w:val="0"/>
        <w:spacing w:before="692"/>
        <w:ind w:left="2878" w:right="3725"/>
        <w:jc w:val="center"/>
        <w:rPr>
          <w:rFonts w:ascii="Times New Roman" w:hAnsi="Times New Roman"/>
          <w:color w:val="000000"/>
          <w:sz w:val="24"/>
          <w:szCs w:val="24"/>
          <w:lang w:val="az-Latn-AZ"/>
        </w:rPr>
        <w:sectPr w:rsidR="00D02DD9" w:rsidRPr="009C2EF2">
          <w:footerReference w:type="default" r:id="rId119"/>
          <w:pgSz w:w="8850" w:h="13270"/>
          <w:pgMar w:top="0" w:right="0" w:bottom="0" w:left="1020" w:header="0" w:footer="0" w:gutter="0"/>
          <w:cols w:space="720" w:equalWidth="0">
            <w:col w:w="7830"/>
          </w:cols>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72416" behindDoc="1" locked="0" layoutInCell="0" allowOverlap="1">
                <wp:simplePos x="0" y="0"/>
                <wp:positionH relativeFrom="page">
                  <wp:posOffset>0</wp:posOffset>
                </wp:positionH>
                <wp:positionV relativeFrom="page">
                  <wp:posOffset>0</wp:posOffset>
                </wp:positionV>
                <wp:extent cx="432435" cy="8424545"/>
                <wp:effectExtent l="0" t="0" r="0" b="0"/>
                <wp:wrapNone/>
                <wp:docPr id="2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8424545"/>
                        </a:xfrm>
                        <a:custGeom>
                          <a:avLst/>
                          <a:gdLst>
                            <a:gd name="T0" fmla="*/ 0 w 681"/>
                            <a:gd name="T1" fmla="*/ 13266 h 13267"/>
                            <a:gd name="T2" fmla="*/ 680 w 681"/>
                            <a:gd name="T3" fmla="*/ 13266 h 13267"/>
                            <a:gd name="T4" fmla="*/ 680 w 681"/>
                            <a:gd name="T5" fmla="*/ 0 h 13267"/>
                            <a:gd name="T6" fmla="*/ 0 w 681"/>
                            <a:gd name="T7" fmla="*/ 0 h 13267"/>
                            <a:gd name="T8" fmla="*/ 0 w 681"/>
                            <a:gd name="T9" fmla="*/ 13266 h 13267"/>
                          </a:gdLst>
                          <a:ahLst/>
                          <a:cxnLst>
                            <a:cxn ang="0">
                              <a:pos x="T0" y="T1"/>
                            </a:cxn>
                            <a:cxn ang="0">
                              <a:pos x="T2" y="T3"/>
                            </a:cxn>
                            <a:cxn ang="0">
                              <a:pos x="T4" y="T5"/>
                            </a:cxn>
                            <a:cxn ang="0">
                              <a:pos x="T6" y="T7"/>
                            </a:cxn>
                            <a:cxn ang="0">
                              <a:pos x="T8" y="T9"/>
                            </a:cxn>
                          </a:cxnLst>
                          <a:rect l="0" t="0" r="r" b="b"/>
                          <a:pathLst>
                            <a:path w="681" h="13267">
                              <a:moveTo>
                                <a:pt x="0" y="13266"/>
                              </a:moveTo>
                              <a:lnTo>
                                <a:pt x="680" y="13266"/>
                              </a:lnTo>
                              <a:lnTo>
                                <a:pt x="680" y="0"/>
                              </a:lnTo>
                              <a:lnTo>
                                <a:pt x="0" y="0"/>
                              </a:lnTo>
                              <a:lnTo>
                                <a:pt x="0" y="132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860B67" id="Freeform 245" o:spid="_x0000_s1026" style="position:absolute;margin-left:0;margin-top:0;width:34.05pt;height:663.3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" o:allowincell="f" path="m,13266r680,l680,,,,,13266xe" fillcolor="#231f20" stroked="f">
                <v:path arrowok="t" o:connecttype="custom" o:connectlocs="0,8423910;431800,8423910;431800,0;0,0;0,8423910" o:connectangles="0,0,0,0,0"/>
                <w10:wrap anchorx="page" anchory="page"/>
              </v:shape>
            </w:pict>
          </mc:Fallback>
        </mc:AlternateContent>
      </w:r>
    </w:p>
    <w:p w:rsidR="00D02DD9" w:rsidRPr="009C2EF2" w:rsidRDefault="003C64E0">
      <w:pPr>
        <w:pStyle w:val="a3"/>
        <w:kinsoku w:val="0"/>
        <w:overflowPunct w:val="0"/>
        <w:spacing w:before="79"/>
        <w:ind w:left="3132"/>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Beynəlxalq Qiymətləndirmə Standartları</w:t>
      </w:r>
    </w:p>
    <w:p w:rsidR="00D02DD9" w:rsidRPr="009C2EF2" w:rsidRDefault="00D02DD9">
      <w:pPr>
        <w:pStyle w:val="a3"/>
        <w:kinsoku w:val="0"/>
        <w:overflowPunct w:val="0"/>
        <w:spacing w:before="4"/>
        <w:ind w:left="0"/>
        <w:rPr>
          <w:rFonts w:ascii="Times New Roman" w:hAnsi="Times New Roman"/>
          <w:i/>
          <w:sz w:val="24"/>
          <w:szCs w:val="24"/>
          <w:lang w:val="az-Latn-AZ"/>
        </w:rPr>
      </w:pPr>
    </w:p>
    <w:p w:rsidR="00D02DD9" w:rsidRPr="009C2EF2" w:rsidRDefault="003C64E0">
      <w:pPr>
        <w:pStyle w:val="a3"/>
        <w:tabs>
          <w:tab w:val="right" w:pos="7710"/>
        </w:tabs>
        <w:kinsoku w:val="0"/>
        <w:overflowPunct w:val="0"/>
        <w:spacing w:before="77"/>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maraqların iyerarxiyası</w:t>
      </w:r>
      <w:r w:rsidRPr="009C2EF2">
        <w:rPr>
          <w:rFonts w:ascii="Times New Roman" w:hAnsi="Times New Roman"/>
          <w:color w:val="231F20"/>
          <w:sz w:val="24"/>
          <w:szCs w:val="24"/>
          <w:lang w:val="az-Latn-AZ"/>
        </w:rPr>
        <w:tab/>
        <w:t>86</w:t>
      </w:r>
    </w:p>
    <w:p w:rsidR="00D02DD9" w:rsidRPr="009C2EF2" w:rsidRDefault="003C64E0">
      <w:pPr>
        <w:pStyle w:val="a3"/>
        <w:tabs>
          <w:tab w:val="right" w:pos="7710"/>
        </w:tabs>
        <w:kinsoku w:val="0"/>
        <w:overflowPunct w:val="0"/>
        <w:spacing w:before="9"/>
        <w:ind w:left="1814"/>
        <w:rPr>
          <w:rFonts w:ascii="Times New Roman" w:hAnsi="Times New Roman"/>
          <w:color w:val="000000"/>
          <w:sz w:val="24"/>
          <w:szCs w:val="24"/>
          <w:lang w:val="az-Latn-AZ"/>
        </w:rPr>
      </w:pPr>
      <w:r w:rsidRPr="009C2EF2">
        <w:rPr>
          <w:rFonts w:ascii="Times New Roman" w:hAnsi="Times New Roman"/>
          <w:color w:val="231F20"/>
          <w:sz w:val="24"/>
          <w:szCs w:val="24"/>
          <w:lang w:val="az-Latn-AZ"/>
        </w:rPr>
        <w:t>icarə haqqı</w:t>
      </w:r>
      <w:r w:rsidRPr="009C2EF2">
        <w:rPr>
          <w:rFonts w:ascii="Times New Roman" w:hAnsi="Times New Roman"/>
          <w:color w:val="231F20"/>
          <w:sz w:val="24"/>
          <w:szCs w:val="24"/>
          <w:lang w:val="az-Latn-AZ"/>
        </w:rPr>
        <w:tab/>
        <w:t>86–87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 və metodları</w:t>
      </w:r>
      <w:r w:rsidRPr="009C2EF2">
        <w:rPr>
          <w:rFonts w:ascii="Times New Roman" w:hAnsi="Times New Roman"/>
          <w:color w:val="231F20"/>
          <w:sz w:val="24"/>
          <w:szCs w:val="24"/>
          <w:lang w:val="az-Latn-AZ"/>
        </w:rPr>
        <w:tab/>
        <w:t>83–85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royaltidən azad olma metodu</w:t>
      </w:r>
      <w:r w:rsidRPr="009C2EF2">
        <w:rPr>
          <w:rFonts w:ascii="Times New Roman" w:hAnsi="Times New Roman"/>
          <w:color w:val="231F20"/>
          <w:spacing w:val="1"/>
          <w:sz w:val="24"/>
          <w:szCs w:val="24"/>
          <w:lang w:val="az-Latn-AZ"/>
        </w:rPr>
        <w:tab/>
        <w:t>64–65</w:t>
      </w:r>
    </w:p>
    <w:p w:rsidR="00D02DD9" w:rsidRPr="009C2EF2" w:rsidRDefault="003C64E0">
      <w:pPr>
        <w:pStyle w:val="a3"/>
        <w:tabs>
          <w:tab w:val="left" w:pos="6895"/>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icarə haqqı</w:t>
      </w:r>
      <w:r w:rsidRPr="009C2EF2">
        <w:rPr>
          <w:rFonts w:ascii="Times New Roman" w:hAnsi="Times New Roman"/>
          <w:color w:val="231F20"/>
          <w:w w:val="95"/>
          <w:sz w:val="24"/>
          <w:szCs w:val="24"/>
          <w:lang w:val="az-Latn-AZ"/>
        </w:rPr>
        <w:tab/>
        <w:t>21, 86–87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əvəzetmə xərci metodu</w:t>
      </w:r>
      <w:r w:rsidRPr="009C2EF2">
        <w:rPr>
          <w:rFonts w:ascii="Times New Roman" w:hAnsi="Times New Roman"/>
          <w:color w:val="231F20"/>
          <w:sz w:val="24"/>
          <w:szCs w:val="24"/>
          <w:lang w:val="az-Latn-AZ"/>
        </w:rPr>
        <w:tab/>
        <w:t>44</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69</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78–80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Hesabat (BQS 103)</w:t>
      </w:r>
      <w:r w:rsidRPr="009C2EF2">
        <w:rPr>
          <w:rFonts w:ascii="Times New Roman" w:hAnsi="Times New Roman"/>
          <w:color w:val="231F20"/>
          <w:spacing w:val="1"/>
          <w:sz w:val="24"/>
          <w:szCs w:val="24"/>
          <w:lang w:val="az-Latn-AZ"/>
        </w:rPr>
        <w:tab/>
        <w:t>14–15</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100–101</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təkrar istehsal xərci metodu</w:t>
      </w:r>
      <w:r w:rsidRPr="009C2EF2">
        <w:rPr>
          <w:rFonts w:ascii="Times New Roman" w:hAnsi="Times New Roman"/>
          <w:color w:val="231F20"/>
          <w:sz w:val="24"/>
          <w:szCs w:val="24"/>
          <w:lang w:val="az-Latn-AZ"/>
        </w:rPr>
        <w:tab/>
        <w:t>44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qalıq üsulu</w:t>
      </w:r>
      <w:r w:rsidRPr="009C2EF2">
        <w:rPr>
          <w:rFonts w:ascii="Times New Roman" w:hAnsi="Times New Roman"/>
          <w:color w:val="231F20"/>
          <w:sz w:val="24"/>
          <w:szCs w:val="24"/>
          <w:lang w:val="az-Latn-AZ"/>
        </w:rPr>
        <w:tab/>
        <w:t>92–97</w:t>
      </w:r>
    </w:p>
    <w:p w:rsidR="00D02DD9" w:rsidRPr="009C2EF2" w:rsidRDefault="003C64E0">
      <w:pPr>
        <w:pStyle w:val="a3"/>
        <w:tabs>
          <w:tab w:val="left" w:pos="6893"/>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riskin qiymətləndirilməsi</w:t>
      </w:r>
      <w:r w:rsidRPr="009C2EF2">
        <w:rPr>
          <w:rFonts w:ascii="Times New Roman" w:hAnsi="Times New Roman"/>
          <w:color w:val="231F20"/>
          <w:spacing w:val="1"/>
          <w:sz w:val="24"/>
          <w:szCs w:val="24"/>
          <w:lang w:val="az-Latn-AZ"/>
        </w:rPr>
        <w:tab/>
        <w:t>63, 69–70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kredit riskinin tənzimlənməsi</w:t>
      </w:r>
      <w:r w:rsidRPr="009C2EF2">
        <w:rPr>
          <w:rFonts w:ascii="Times New Roman" w:hAnsi="Times New Roman"/>
          <w:color w:val="231F20"/>
          <w:sz w:val="24"/>
          <w:szCs w:val="24"/>
          <w:lang w:val="az-Latn-AZ"/>
        </w:rPr>
        <w:tab/>
        <w:t>104–106</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95–96</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royalti məbləği</w:t>
      </w:r>
      <w:r w:rsidRPr="009C2EF2">
        <w:rPr>
          <w:rFonts w:ascii="Times New Roman" w:hAnsi="Times New Roman"/>
          <w:color w:val="231F20"/>
          <w:sz w:val="24"/>
          <w:szCs w:val="24"/>
          <w:lang w:val="az-Latn-AZ"/>
        </w:rPr>
        <w:tab/>
        <w:t>64–65</w:t>
      </w:r>
    </w:p>
    <w:p w:rsidR="00D02DD9" w:rsidRPr="009C2EF2" w:rsidRDefault="003C64E0">
      <w:pPr>
        <w:pStyle w:val="Heading21"/>
        <w:kinsoku w:val="0"/>
        <w:overflowPunct w:val="0"/>
        <w:spacing w:before="240" w:line="274" w:lineRule="exact"/>
        <w:ind w:left="963"/>
        <w:outlineLvl w:val="9"/>
        <w:rPr>
          <w:rFonts w:ascii="Times New Roman" w:hAnsi="Times New Roman"/>
          <w:b w:val="0"/>
          <w:color w:val="000000"/>
          <w:szCs w:val="24"/>
          <w:lang w:val="az-Latn-AZ"/>
        </w:rPr>
      </w:pPr>
      <w:r w:rsidRPr="009C2EF2">
        <w:rPr>
          <w:rFonts w:ascii="Times New Roman" w:hAnsi="Times New Roman"/>
          <w:color w:val="231F20"/>
          <w:szCs w:val="24"/>
          <w:lang w:val="az-Latn-AZ"/>
        </w:rPr>
        <w:t>Ü</w:t>
      </w:r>
    </w:p>
    <w:p w:rsidR="00D02DD9" w:rsidRPr="009C2EF2" w:rsidRDefault="003C64E0">
      <w:pPr>
        <w:pStyle w:val="a3"/>
        <w:tabs>
          <w:tab w:val="right" w:pos="7710"/>
        </w:tabs>
        <w:kinsoku w:val="0"/>
        <w:overflowPunct w:val="0"/>
        <w:spacing w:line="205" w:lineRule="exact"/>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ləğvetmə dəyəri</w:t>
      </w:r>
      <w:r w:rsidRPr="009C2EF2">
        <w:rPr>
          <w:rFonts w:ascii="Times New Roman" w:hAnsi="Times New Roman"/>
          <w:color w:val="231F20"/>
          <w:sz w:val="24"/>
          <w:szCs w:val="24"/>
          <w:lang w:val="az-Latn-AZ"/>
        </w:rPr>
        <w:tab/>
        <w:t>41–42</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İşin əhatə dairəsi (BQS 101)</w:t>
      </w:r>
      <w:r w:rsidRPr="009C2EF2">
        <w:rPr>
          <w:rFonts w:ascii="Times New Roman" w:hAnsi="Times New Roman"/>
          <w:color w:val="231F20"/>
          <w:spacing w:val="1"/>
          <w:sz w:val="24"/>
          <w:szCs w:val="24"/>
          <w:lang w:val="az-Latn-AZ"/>
        </w:rPr>
        <w:tab/>
        <w:t>9–11</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89–90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100</w:t>
      </w:r>
    </w:p>
    <w:p w:rsidR="00D02DD9" w:rsidRPr="009C2EF2" w:rsidRDefault="0075026C">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3632" behindDoc="0" locked="0" layoutInCell="0" allowOverlap="1">
                <wp:simplePos x="0" y="0"/>
                <wp:positionH relativeFrom="page">
                  <wp:posOffset>156845</wp:posOffset>
                </wp:positionH>
                <wp:positionV relativeFrom="paragraph">
                  <wp:posOffset>51435</wp:posOffset>
                </wp:positionV>
                <wp:extent cx="152400" cy="353695"/>
                <wp:effectExtent l="0" t="0" r="0" b="0"/>
                <wp:wrapNone/>
                <wp:docPr id="2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52" type="#_x0000_t202" style="position:absolute;left:0;text-align:left;margin-left:12.35pt;margin-top:4.05pt;width:12pt;height:27.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" o:allowincell="f" filled="f" stroked="f">
                <v:textbox style="layout-flow:vertical;mso-layout-flow-alt:bottom-to-top"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istehsalat vasitələri, maşın və avadanlıqlar</w:t>
      </w:r>
      <w:r w:rsidR="003C64E0" w:rsidRPr="009C2EF2">
        <w:rPr>
          <w:rFonts w:ascii="Times New Roman" w:hAnsi="Times New Roman"/>
          <w:color w:val="231F20"/>
          <w:sz w:val="24"/>
          <w:szCs w:val="24"/>
          <w:lang w:val="az-Latn-AZ"/>
        </w:rPr>
        <w:tab/>
        <w:t>76–77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82–83</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təminatlı kreditləşmə</w:t>
      </w:r>
      <w:r w:rsidRPr="009C2EF2">
        <w:rPr>
          <w:rFonts w:ascii="Times New Roman" w:hAnsi="Times New Roman"/>
          <w:color w:val="231F20"/>
          <w:sz w:val="24"/>
          <w:szCs w:val="24"/>
          <w:lang w:val="az-Latn-AZ"/>
        </w:rPr>
        <w:tab/>
        <w:t>98</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həssaslığının təhlili</w:t>
      </w:r>
      <w:r w:rsidRPr="009C2EF2">
        <w:rPr>
          <w:rFonts w:ascii="Times New Roman" w:hAnsi="Times New Roman"/>
          <w:color w:val="231F20"/>
          <w:spacing w:val="1"/>
          <w:sz w:val="24"/>
          <w:szCs w:val="24"/>
          <w:lang w:val="az-Latn-AZ"/>
        </w:rPr>
        <w:tab/>
        <w:t>89</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felin vacib şəkli</w:t>
      </w:r>
      <w:r w:rsidRPr="009C2EF2">
        <w:rPr>
          <w:rFonts w:ascii="Times New Roman" w:hAnsi="Times New Roman"/>
          <w:color w:val="231F20"/>
          <w:sz w:val="24"/>
          <w:szCs w:val="24"/>
          <w:lang w:val="az-Latn-AZ"/>
        </w:rPr>
        <w:tab/>
        <w:t>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əhəmiyyətlilik və maddilik</w:t>
      </w:r>
      <w:r w:rsidRPr="009C2EF2">
        <w:rPr>
          <w:rFonts w:ascii="Times New Roman" w:hAnsi="Times New Roman"/>
          <w:color w:val="231F20"/>
          <w:spacing w:val="1"/>
          <w:sz w:val="24"/>
          <w:szCs w:val="24"/>
          <w:lang w:val="az-Latn-AZ"/>
        </w:rPr>
        <w:tab/>
        <w:t>4</w:t>
      </w:r>
    </w:p>
    <w:p w:rsidR="00D02DD9" w:rsidRPr="009C2EF2" w:rsidRDefault="003C64E0">
      <w:pPr>
        <w:pStyle w:val="a3"/>
        <w:tabs>
          <w:tab w:val="left" w:pos="7228"/>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xüsusi mülahizələr</w:t>
      </w:r>
      <w:r w:rsidRPr="009C2EF2">
        <w:rPr>
          <w:rFonts w:ascii="Times New Roman" w:hAnsi="Times New Roman"/>
          <w:color w:val="231F20"/>
          <w:spacing w:val="1"/>
          <w:sz w:val="24"/>
          <w:szCs w:val="24"/>
          <w:lang w:val="az-Latn-AZ"/>
        </w:rPr>
        <w:tab/>
        <w:t>10, 11</w:t>
      </w:r>
    </w:p>
    <w:p w:rsidR="00D02DD9" w:rsidRPr="009C2EF2" w:rsidRDefault="003C64E0">
      <w:pPr>
        <w:pStyle w:val="a3"/>
        <w:tabs>
          <w:tab w:val="left" w:pos="6911"/>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dəyər bazaları (BQS 104)</w:t>
      </w:r>
      <w:r w:rsidRPr="009C2EF2">
        <w:rPr>
          <w:rFonts w:ascii="Times New Roman" w:hAnsi="Times New Roman"/>
          <w:color w:val="231F20"/>
          <w:sz w:val="24"/>
          <w:szCs w:val="24"/>
          <w:lang w:val="az-Latn-AZ"/>
        </w:rPr>
        <w:tab/>
        <w:t>25, 27–28</w:t>
      </w:r>
    </w:p>
    <w:p w:rsidR="00D02DD9" w:rsidRPr="009C2EF2" w:rsidRDefault="003C64E0">
      <w:pPr>
        <w:pStyle w:val="a3"/>
        <w:tabs>
          <w:tab w:val="left" w:pos="688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89–90, 93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82–83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Hesabat (BQS 103)</w:t>
      </w:r>
      <w:r w:rsidRPr="009C2EF2">
        <w:rPr>
          <w:rFonts w:ascii="Times New Roman" w:hAnsi="Times New Roman"/>
          <w:color w:val="231F20"/>
          <w:spacing w:val="1"/>
          <w:sz w:val="24"/>
          <w:szCs w:val="24"/>
          <w:lang w:val="az-Latn-AZ"/>
        </w:rPr>
        <w:tab/>
        <w:t>14</w:t>
      </w:r>
    </w:p>
    <w:p w:rsidR="00D02DD9" w:rsidRPr="009C2EF2" w:rsidRDefault="003C64E0">
      <w:pPr>
        <w:pStyle w:val="a3"/>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lastRenderedPageBreak/>
        <w:t>xüsusi mülahizələr</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53–56</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92–98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103–107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maliyə hesabatı üzrə</w:t>
      </w:r>
      <w:r w:rsidRPr="009C2EF2">
        <w:rPr>
          <w:rFonts w:ascii="Times New Roman" w:hAnsi="Times New Roman"/>
          <w:color w:val="231F20"/>
          <w:sz w:val="24"/>
          <w:szCs w:val="24"/>
          <w:lang w:val="az-Latn-AZ"/>
        </w:rPr>
        <w:tab/>
        <w:t>98</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69–73</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80</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86–87</w:t>
      </w:r>
    </w:p>
    <w:p w:rsidR="00D02DD9" w:rsidRPr="009C2EF2" w:rsidRDefault="003C64E0">
      <w:pPr>
        <w:pStyle w:val="a3"/>
        <w:tabs>
          <w:tab w:val="right" w:pos="7710"/>
        </w:tabs>
        <w:kinsoku w:val="0"/>
        <w:overflowPunct w:val="0"/>
        <w:spacing w:before="9"/>
        <w:rPr>
          <w:rFonts w:ascii="Times New Roman" w:hAnsi="Times New Roman"/>
          <w:color w:val="000000"/>
          <w:sz w:val="24"/>
          <w:szCs w:val="24"/>
          <w:lang w:val="az-Latn-AZ"/>
        </w:rPr>
      </w:pPr>
      <w:r w:rsidRPr="009C2EF2">
        <w:rPr>
          <w:rFonts w:ascii="Times New Roman" w:hAnsi="Times New Roman"/>
          <w:color w:val="231F20"/>
          <w:sz w:val="24"/>
          <w:szCs w:val="24"/>
          <w:lang w:val="az-Latn-AZ"/>
        </w:rPr>
        <w:t>təminatlı kreditləşmə üzrə</w:t>
      </w:r>
      <w:r w:rsidRPr="009C2EF2">
        <w:rPr>
          <w:rFonts w:ascii="Times New Roman" w:hAnsi="Times New Roman"/>
          <w:color w:val="231F20"/>
          <w:sz w:val="24"/>
          <w:szCs w:val="24"/>
          <w:lang w:val="az-Latn-AZ"/>
        </w:rPr>
        <w:tab/>
        <w:t>98</w:t>
      </w:r>
    </w:p>
    <w:p w:rsidR="00D02DD9" w:rsidRPr="009C2EF2" w:rsidRDefault="003C64E0">
      <w:pPr>
        <w:pStyle w:val="a3"/>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dəyər standartları,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Dəyər Bazaları (BQS 104)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predmeti və ya qiymətləndirilən aktiv</w:t>
      </w:r>
      <w:r w:rsidRPr="009C2EF2">
        <w:rPr>
          <w:rFonts w:ascii="Times New Roman" w:hAnsi="Times New Roman"/>
          <w:color w:val="231F20"/>
          <w:sz w:val="24"/>
          <w:szCs w:val="24"/>
          <w:lang w:val="az-Latn-AZ"/>
        </w:rPr>
        <w:tab/>
        <w:t>4</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tabelilik</w:t>
      </w:r>
      <w:r w:rsidRPr="009C2EF2">
        <w:rPr>
          <w:rFonts w:ascii="Times New Roman" w:hAnsi="Times New Roman"/>
          <w:color w:val="231F20"/>
          <w:sz w:val="24"/>
          <w:szCs w:val="24"/>
          <w:lang w:val="az-Latn-AZ"/>
        </w:rPr>
        <w:tab/>
        <w:t>105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toplama metodu</w:t>
      </w:r>
      <w:r w:rsidRPr="009C2EF2">
        <w:rPr>
          <w:rFonts w:ascii="Times New Roman" w:hAnsi="Times New Roman"/>
          <w:color w:val="231F20"/>
          <w:sz w:val="24"/>
          <w:szCs w:val="24"/>
          <w:lang w:val="az-Latn-AZ"/>
        </w:rPr>
        <w:tab/>
        <w:t>44–45</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sinerjilər</w:t>
      </w:r>
      <w:r w:rsidRPr="009C2EF2">
        <w:rPr>
          <w:rFonts w:ascii="Times New Roman" w:hAnsi="Times New Roman"/>
          <w:color w:val="231F20"/>
          <w:sz w:val="24"/>
          <w:szCs w:val="24"/>
          <w:lang w:val="az-Latn-AZ"/>
        </w:rPr>
        <w:tab/>
        <w:t>26–27</w:t>
      </w:r>
    </w:p>
    <w:p w:rsidR="00D02DD9" w:rsidRPr="009C2EF2" w:rsidRDefault="003C64E0">
      <w:pPr>
        <w:pStyle w:val="a3"/>
        <w:tabs>
          <w:tab w:val="right" w:pos="7710"/>
        </w:tabs>
        <w:kinsoku w:val="0"/>
        <w:overflowPunct w:val="0"/>
        <w:spacing w:before="9"/>
        <w:ind w:left="963"/>
        <w:rPr>
          <w:rFonts w:ascii="Times New Roman" w:hAnsi="Times New Roman"/>
          <w:color w:val="000000"/>
          <w:sz w:val="24"/>
          <w:szCs w:val="24"/>
          <w:lang w:val="az-Latn-AZ"/>
        </w:rPr>
      </w:pPr>
      <w:r w:rsidRPr="009C2EF2">
        <w:rPr>
          <w:rFonts w:ascii="Times New Roman" w:hAnsi="Times New Roman"/>
          <w:color w:val="231F20"/>
          <w:sz w:val="24"/>
          <w:szCs w:val="24"/>
          <w:lang w:val="az-Latn-AZ"/>
        </w:rPr>
        <w:t>sinerji dəyəri</w:t>
      </w:r>
      <w:r w:rsidRPr="009C2EF2">
        <w:rPr>
          <w:rFonts w:ascii="Times New Roman" w:hAnsi="Times New Roman"/>
          <w:color w:val="231F20"/>
          <w:sz w:val="24"/>
          <w:szCs w:val="24"/>
          <w:lang w:val="az-Latn-AZ"/>
        </w:rPr>
        <w:tab/>
        <w:t>22</w:t>
      </w:r>
    </w:p>
    <w:p w:rsidR="00D02DD9" w:rsidRPr="009C2EF2" w:rsidRDefault="003C64E0">
      <w:pPr>
        <w:pStyle w:val="a3"/>
        <w:kinsoku w:val="0"/>
        <w:overflowPunct w:val="0"/>
        <w:spacing w:before="944"/>
        <w:ind w:left="4183" w:right="3334"/>
        <w:jc w:val="center"/>
        <w:rPr>
          <w:rFonts w:ascii="Times New Roman" w:hAnsi="Times New Roman"/>
          <w:color w:val="000000"/>
          <w:sz w:val="24"/>
          <w:szCs w:val="24"/>
          <w:lang w:val="az-Latn-AZ"/>
        </w:rPr>
      </w:pPr>
      <w:r w:rsidRPr="009C2EF2">
        <w:rPr>
          <w:rFonts w:ascii="Times New Roman" w:hAnsi="Times New Roman"/>
          <w:color w:val="231F20"/>
          <w:spacing w:val="-6"/>
          <w:sz w:val="24"/>
          <w:szCs w:val="24"/>
          <w:lang w:val="az-Latn-AZ"/>
        </w:rPr>
        <w:t>114</w:t>
      </w:r>
    </w:p>
    <w:p w:rsidR="00D02DD9" w:rsidRPr="009C2EF2" w:rsidRDefault="00D02DD9">
      <w:pPr>
        <w:pStyle w:val="a3"/>
        <w:kinsoku w:val="0"/>
        <w:overflowPunct w:val="0"/>
        <w:spacing w:before="944"/>
        <w:ind w:left="4183" w:right="3334"/>
        <w:jc w:val="center"/>
        <w:rPr>
          <w:rFonts w:ascii="Times New Roman" w:hAnsi="Times New Roman"/>
          <w:color w:val="000000"/>
          <w:sz w:val="24"/>
          <w:szCs w:val="24"/>
          <w:lang w:val="az-Latn-AZ"/>
        </w:rPr>
        <w:sectPr w:rsidR="00D02DD9" w:rsidRPr="009C2EF2">
          <w:footerReference w:type="default" r:id="rId120"/>
          <w:pgSz w:w="8850" w:h="13270"/>
          <w:pgMar w:top="0" w:right="1020" w:bottom="0" w:left="0" w:header="0" w:footer="0" w:gutter="0"/>
          <w:cols w:space="720"/>
        </w:sectPr>
      </w:pPr>
    </w:p>
    <w:p w:rsidR="00D02DD9" w:rsidRPr="009C2EF2" w:rsidRDefault="0075026C">
      <w:pPr>
        <w:pStyle w:val="a3"/>
        <w:kinsoku w:val="0"/>
        <w:overflowPunct w:val="0"/>
        <w:spacing w:before="2"/>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s">
            <w:drawing>
              <wp:anchor distT="0" distB="0" distL="114300" distR="114300" simplePos="0" relativeHeight="251773440" behindDoc="1" locked="0" layoutInCell="0" allowOverlap="1">
                <wp:simplePos x="0" y="0"/>
                <wp:positionH relativeFrom="page">
                  <wp:posOffset>5183505</wp:posOffset>
                </wp:positionH>
                <wp:positionV relativeFrom="page">
                  <wp:posOffset>0</wp:posOffset>
                </wp:positionV>
                <wp:extent cx="431800" cy="8423910"/>
                <wp:effectExtent l="0" t="0" r="0" b="0"/>
                <wp:wrapNone/>
                <wp:docPr id="22"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8423910"/>
                        </a:xfrm>
                        <a:custGeom>
                          <a:avLst/>
                          <a:gdLst>
                            <a:gd name="T0" fmla="*/ 0 w 681"/>
                            <a:gd name="T1" fmla="*/ 13267 h 13267"/>
                            <a:gd name="T2" fmla="*/ 681 w 681"/>
                            <a:gd name="T3" fmla="*/ 13267 h 13267"/>
                            <a:gd name="T4" fmla="*/ 681 w 681"/>
                            <a:gd name="T5" fmla="*/ 13267 h 13267"/>
                            <a:gd name="T6" fmla="*/ 681 w 681"/>
                            <a:gd name="T7" fmla="*/ 0 h 13267"/>
                            <a:gd name="T8" fmla="*/ 681 w 681"/>
                            <a:gd name="T9" fmla="*/ 0 h 13267"/>
                            <a:gd name="T10" fmla="*/ 0 w 681"/>
                            <a:gd name="T11" fmla="*/ 0 h 13267"/>
                            <a:gd name="T12" fmla="*/ 0 w 681"/>
                            <a:gd name="T13" fmla="*/ 13267 h 13267"/>
                          </a:gdLst>
                          <a:ahLst/>
                          <a:cxnLst>
                            <a:cxn ang="0">
                              <a:pos x="T0" y="T1"/>
                            </a:cxn>
                            <a:cxn ang="0">
                              <a:pos x="T2" y="T3"/>
                            </a:cxn>
                            <a:cxn ang="0">
                              <a:pos x="T4" y="T5"/>
                            </a:cxn>
                            <a:cxn ang="0">
                              <a:pos x="T6" y="T7"/>
                            </a:cxn>
                            <a:cxn ang="0">
                              <a:pos x="T8" y="T9"/>
                            </a:cxn>
                            <a:cxn ang="0">
                              <a:pos x="T10" y="T11"/>
                            </a:cxn>
                            <a:cxn ang="0">
                              <a:pos x="T12" y="T13"/>
                            </a:cxn>
                          </a:cxnLst>
                          <a:rect l="0" t="0" r="r" b="b"/>
                          <a:pathLst>
                            <a:path w="681" h="13267">
                              <a:moveTo>
                                <a:pt x="0" y="13267"/>
                              </a:moveTo>
                              <a:lnTo>
                                <a:pt x="681" y="13267"/>
                              </a:lnTo>
                              <a:lnTo>
                                <a:pt x="681" y="0"/>
                              </a:lnTo>
                              <a:lnTo>
                                <a:pt x="0" y="0"/>
                              </a:lnTo>
                              <a:lnTo>
                                <a:pt x="0" y="1326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C84A300" id="Freeform 247" o:spid="_x0000_s1026" style="position:absolute;margin-left:408.15pt;margin-top:0;width:34pt;height:663.3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" o:allowincell="f" path="m,13267r681,l681,,,,,13267e" fillcolor="#231f20" stroked="f">
                <v:path arrowok="t" o:connecttype="custom" o:connectlocs="0,8423910;431800,8423910;431800,8423910;431800,0;431800,0;0,0;0,8423910" o:connectangles="0,0,0,0,0,0,0"/>
                <w10:wrap anchorx="page" anchory="page"/>
              </v:shape>
            </w:pict>
          </mc:Fallback>
        </mc:AlternateContent>
      </w:r>
    </w:p>
    <w:p w:rsidR="00D02DD9" w:rsidRPr="009C2EF2" w:rsidRDefault="003C64E0">
      <w:pPr>
        <w:pStyle w:val="a3"/>
        <w:kinsoku w:val="0"/>
        <w:overflowPunct w:val="0"/>
        <w:spacing w:before="79"/>
        <w:ind w:left="2875" w:right="3725"/>
        <w:jc w:val="center"/>
        <w:rPr>
          <w:rFonts w:ascii="Times New Roman" w:hAnsi="Times New Roman"/>
          <w:color w:val="000000"/>
          <w:sz w:val="24"/>
          <w:szCs w:val="24"/>
          <w:lang w:val="az-Latn-AZ"/>
        </w:rPr>
      </w:pPr>
      <w:r w:rsidRPr="009C2EF2">
        <w:rPr>
          <w:rFonts w:ascii="Times New Roman" w:hAnsi="Times New Roman"/>
          <w:i/>
          <w:color w:val="231F20"/>
          <w:spacing w:val="-1"/>
          <w:sz w:val="24"/>
          <w:szCs w:val="24"/>
          <w:lang w:val="az-Latn-AZ"/>
        </w:rPr>
        <w:t>İndeks</w:t>
      </w:r>
    </w:p>
    <w:p w:rsidR="00D02DD9" w:rsidRPr="009C2EF2" w:rsidRDefault="00D02DD9">
      <w:pPr>
        <w:pStyle w:val="a3"/>
        <w:kinsoku w:val="0"/>
        <w:overflowPunct w:val="0"/>
        <w:spacing w:before="10"/>
        <w:ind w:left="0"/>
        <w:rPr>
          <w:rFonts w:ascii="Times New Roman" w:hAnsi="Times New Roman"/>
          <w:i/>
          <w:sz w:val="24"/>
          <w:szCs w:val="24"/>
          <w:lang w:val="az-Latn-AZ"/>
        </w:rPr>
      </w:pPr>
    </w:p>
    <w:p w:rsidR="00D02DD9" w:rsidRPr="009C2EF2" w:rsidRDefault="003C64E0">
      <w:pPr>
        <w:pStyle w:val="Heading21"/>
        <w:kinsoku w:val="0"/>
        <w:overflowPunct w:val="0"/>
        <w:spacing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T</w:t>
      </w:r>
    </w:p>
    <w:p w:rsidR="00D02DD9" w:rsidRPr="009C2EF2" w:rsidRDefault="003C64E0">
      <w:pPr>
        <w:pStyle w:val="a3"/>
        <w:tabs>
          <w:tab w:val="right" w:pos="6860"/>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pacing w:val="2"/>
          <w:sz w:val="24"/>
          <w:szCs w:val="24"/>
          <w:lang w:val="az-Latn-AZ"/>
        </w:rPr>
        <w:t>Vergi Amortizasiyası Faydası (TAB)</w:t>
      </w:r>
      <w:r w:rsidRPr="009C2EF2">
        <w:rPr>
          <w:rFonts w:ascii="Times New Roman" w:hAnsi="Times New Roman"/>
          <w:color w:val="231F20"/>
          <w:spacing w:val="2"/>
          <w:sz w:val="24"/>
          <w:szCs w:val="24"/>
          <w:lang w:val="az-Latn-AZ"/>
        </w:rPr>
        <w:tab/>
        <w:t>72–73</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terminal dəyər</w:t>
      </w:r>
      <w:r w:rsidRPr="009C2EF2">
        <w:rPr>
          <w:rFonts w:ascii="Times New Roman" w:hAnsi="Times New Roman"/>
          <w:color w:val="231F20"/>
          <w:sz w:val="24"/>
          <w:szCs w:val="24"/>
          <w:lang w:val="az-Latn-AZ"/>
        </w:rPr>
        <w:tab/>
        <w:t>40–42</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vaxt cədvəli</w:t>
      </w:r>
      <w:r w:rsidRPr="009C2EF2">
        <w:rPr>
          <w:rFonts w:ascii="Times New Roman" w:hAnsi="Times New Roman"/>
          <w:color w:val="231F20"/>
          <w:sz w:val="24"/>
          <w:szCs w:val="24"/>
          <w:lang w:val="az-Latn-AZ"/>
        </w:rPr>
        <w:tab/>
        <w:t>95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qoyulmuş kapitalın ümumi dəyəri</w:t>
      </w:r>
      <w:r w:rsidRPr="009C2EF2">
        <w:rPr>
          <w:rFonts w:ascii="Times New Roman" w:hAnsi="Times New Roman"/>
          <w:color w:val="231F20"/>
          <w:sz w:val="24"/>
          <w:szCs w:val="24"/>
          <w:lang w:val="az-Latn-AZ"/>
        </w:rPr>
        <w:tab/>
        <w:t>50</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əməliyyat xərci</w:t>
      </w:r>
      <w:r w:rsidRPr="009C2EF2">
        <w:rPr>
          <w:rFonts w:ascii="Times New Roman" w:hAnsi="Times New Roman"/>
          <w:color w:val="231F20"/>
          <w:sz w:val="24"/>
          <w:szCs w:val="24"/>
          <w:lang w:val="az-Latn-AZ"/>
        </w:rPr>
        <w:tab/>
        <w:t>28</w:t>
      </w:r>
    </w:p>
    <w:p w:rsidR="00D02DD9" w:rsidRPr="009C2EF2" w:rsidRDefault="003C64E0">
      <w:pPr>
        <w:pStyle w:val="a3"/>
        <w:tabs>
          <w:tab w:val="left" w:pos="5788"/>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əməliyyatlar</w:t>
      </w:r>
      <w:r w:rsidRPr="009C2EF2">
        <w:rPr>
          <w:rFonts w:ascii="Times New Roman" w:hAnsi="Times New Roman"/>
          <w:color w:val="231F20"/>
          <w:w w:val="95"/>
          <w:sz w:val="24"/>
          <w:szCs w:val="24"/>
          <w:lang w:val="az-Latn-AZ"/>
        </w:rPr>
        <w:tab/>
        <w:t>17, 19, 31–33</w:t>
      </w: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Heading21"/>
        <w:kinsoku w:val="0"/>
        <w:overflowPunct w:val="0"/>
        <w:spacing w:before="0"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U</w:t>
      </w:r>
    </w:p>
    <w:p w:rsidR="00D02DD9" w:rsidRPr="009C2EF2" w:rsidRDefault="003C64E0">
      <w:pPr>
        <w:pStyle w:val="a3"/>
        <w:tabs>
          <w:tab w:val="left" w:pos="6355"/>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müqayisə vahidləri</w:t>
      </w:r>
      <w:r w:rsidRPr="009C2EF2">
        <w:rPr>
          <w:rFonts w:ascii="Times New Roman" w:hAnsi="Times New Roman"/>
          <w:color w:val="231F20"/>
          <w:sz w:val="24"/>
          <w:szCs w:val="24"/>
          <w:lang w:val="az-Latn-AZ"/>
        </w:rPr>
        <w:tab/>
        <w:t>32, 83</w:t>
      </w: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Heading21"/>
        <w:kinsoku w:val="0"/>
        <w:overflowPunct w:val="0"/>
        <w:spacing w:before="0"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t>V</w:t>
      </w:r>
    </w:p>
    <w:p w:rsidR="00D02DD9" w:rsidRPr="009C2EF2" w:rsidRDefault="003C64E0">
      <w:pPr>
        <w:pStyle w:val="a3"/>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yanaşmaları</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müəssisə və müəssisənin iştirak payı</w:t>
      </w:r>
      <w:r w:rsidRPr="009C2EF2">
        <w:rPr>
          <w:rFonts w:ascii="Times New Roman" w:hAnsi="Times New Roman"/>
          <w:color w:val="231F20"/>
          <w:sz w:val="24"/>
          <w:szCs w:val="24"/>
          <w:lang w:val="az-Latn-AZ"/>
        </w:rPr>
        <w:tab/>
        <w:t>50–53</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tikinti obyekti</w:t>
      </w:r>
      <w:r w:rsidRPr="009C2EF2">
        <w:rPr>
          <w:rFonts w:ascii="Times New Roman" w:hAnsi="Times New Roman"/>
          <w:color w:val="231F20"/>
          <w:sz w:val="24"/>
          <w:szCs w:val="24"/>
          <w:lang w:val="az-Latn-AZ"/>
        </w:rPr>
        <w:tab/>
        <w:t>90–97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maliyyə alətləri</w:t>
      </w:r>
      <w:r w:rsidRPr="009C2EF2">
        <w:rPr>
          <w:rFonts w:ascii="Times New Roman" w:hAnsi="Times New Roman"/>
          <w:color w:val="231F20"/>
          <w:spacing w:val="1"/>
          <w:sz w:val="24"/>
          <w:szCs w:val="24"/>
          <w:lang w:val="az-Latn-AZ"/>
        </w:rPr>
        <w:tab/>
        <w:t>101–103</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qeyri-maddi aktivlər</w:t>
      </w:r>
      <w:r w:rsidRPr="009C2EF2">
        <w:rPr>
          <w:rFonts w:ascii="Times New Roman" w:hAnsi="Times New Roman"/>
          <w:color w:val="231F20"/>
          <w:sz w:val="24"/>
          <w:szCs w:val="24"/>
          <w:lang w:val="az-Latn-AZ"/>
        </w:rPr>
        <w:tab/>
        <w:t>60–69</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istehsalat vasitələri, maşın və avadanlıqlar</w:t>
      </w:r>
      <w:r w:rsidRPr="009C2EF2">
        <w:rPr>
          <w:rFonts w:ascii="Times New Roman" w:hAnsi="Times New Roman"/>
          <w:color w:val="231F20"/>
          <w:sz w:val="24"/>
          <w:szCs w:val="24"/>
          <w:lang w:val="az-Latn-AZ"/>
        </w:rPr>
        <w:tab/>
        <w:t>78–80</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daşınmaz əmlak üzrə maraqlar</w:t>
      </w:r>
      <w:r w:rsidRPr="009C2EF2">
        <w:rPr>
          <w:rFonts w:ascii="Times New Roman" w:hAnsi="Times New Roman"/>
          <w:color w:val="231F20"/>
          <w:sz w:val="24"/>
          <w:szCs w:val="24"/>
          <w:lang w:val="az-Latn-AZ"/>
        </w:rPr>
        <w:tab/>
        <w:t>83–85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Qiymətləndirmə Yanaşmaları və Metodları (BQS 105)</w:t>
      </w:r>
      <w:r w:rsidRPr="009C2EF2">
        <w:rPr>
          <w:rFonts w:ascii="Times New Roman" w:hAnsi="Times New Roman"/>
          <w:color w:val="231F20"/>
          <w:spacing w:val="-1"/>
          <w:sz w:val="24"/>
          <w:szCs w:val="24"/>
          <w:lang w:val="az-Latn-AZ"/>
        </w:rPr>
        <w:tab/>
        <w:t>29–47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 yanaşması</w:t>
      </w:r>
      <w:r w:rsidRPr="009C2EF2">
        <w:rPr>
          <w:rFonts w:ascii="Times New Roman" w:hAnsi="Times New Roman"/>
          <w:color w:val="231F20"/>
          <w:spacing w:val="1"/>
          <w:sz w:val="24"/>
          <w:szCs w:val="24"/>
          <w:lang w:val="az-Latn-AZ"/>
        </w:rPr>
        <w:tab/>
        <w:t>42–47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xərclə bağlı mülahizələr</w:t>
      </w:r>
      <w:r w:rsidRPr="009C2EF2">
        <w:rPr>
          <w:rFonts w:ascii="Times New Roman" w:hAnsi="Times New Roman"/>
          <w:color w:val="231F20"/>
          <w:spacing w:val="1"/>
          <w:sz w:val="24"/>
          <w:szCs w:val="24"/>
          <w:lang w:val="az-Latn-AZ"/>
        </w:rPr>
        <w:tab/>
        <w:t>45–46</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qiymətdən düşmə/köhnəlmə</w:t>
      </w:r>
      <w:r w:rsidRPr="009C2EF2">
        <w:rPr>
          <w:rFonts w:ascii="Times New Roman" w:hAnsi="Times New Roman"/>
          <w:color w:val="231F20"/>
          <w:spacing w:val="1"/>
          <w:sz w:val="24"/>
          <w:szCs w:val="24"/>
          <w:lang w:val="az-Latn-AZ"/>
        </w:rPr>
        <w:tab/>
        <w:t>46–47</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metodlar</w:t>
      </w:r>
      <w:r w:rsidRPr="009C2EF2">
        <w:rPr>
          <w:rFonts w:ascii="Times New Roman" w:hAnsi="Times New Roman"/>
          <w:color w:val="231F20"/>
          <w:sz w:val="24"/>
          <w:szCs w:val="24"/>
          <w:lang w:val="az-Latn-AZ"/>
        </w:rPr>
        <w:tab/>
        <w:t>44–45</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gəlir yanaşması</w:t>
      </w:r>
      <w:r w:rsidRPr="009C2EF2">
        <w:rPr>
          <w:rFonts w:ascii="Times New Roman" w:hAnsi="Times New Roman"/>
          <w:color w:val="231F20"/>
          <w:spacing w:val="1"/>
          <w:sz w:val="24"/>
          <w:szCs w:val="24"/>
          <w:lang w:val="az-Latn-AZ"/>
        </w:rPr>
        <w:tab/>
        <w:t>36–42</w:t>
      </w:r>
    </w:p>
    <w:p w:rsidR="00D02DD9" w:rsidRPr="009C2EF2" w:rsidRDefault="0075026C">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noProof/>
          <w:color w:val="000000"/>
          <w:sz w:val="24"/>
          <w:szCs w:val="24"/>
          <w:lang w:val="ru-RU" w:eastAsia="ru-RU"/>
        </w:rPr>
        <mc:AlternateContent>
          <mc:Choice Requires="wps">
            <w:drawing>
              <wp:anchor distT="0" distB="0" distL="114300" distR="114300" simplePos="0" relativeHeight="251654656" behindDoc="0" locked="0" layoutInCell="0" allowOverlap="1">
                <wp:simplePos x="0" y="0"/>
                <wp:positionH relativeFrom="page">
                  <wp:posOffset>5306695</wp:posOffset>
                </wp:positionH>
                <wp:positionV relativeFrom="paragraph">
                  <wp:posOffset>5080</wp:posOffset>
                </wp:positionV>
                <wp:extent cx="152400" cy="353695"/>
                <wp:effectExtent l="0" t="0" r="0" b="0"/>
                <wp:wrapNone/>
                <wp:docPr id="2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53" type="#_x0000_t202" style="position:absolute;left:0;text-align:left;margin-left:417.85pt;margin-top:.4pt;width:12pt;height:27.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yzsA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" o:allowincell="f" filled="f" stroked="f">
                <v:textbox style="layout-flow:vertical" inset="0,0,0,0">
                  <w:txbxContent>
                    <w:p w:rsidR="0072444D" w:rsidRDefault="0072444D">
                      <w:pPr>
                        <w:pStyle w:val="a3"/>
                        <w:kinsoku w:val="0"/>
                        <w:overflowPunct w:val="0"/>
                        <w:spacing w:line="224" w:lineRule="exact"/>
                        <w:ind w:left="20"/>
                        <w:rPr>
                          <w:color w:val="000000"/>
                          <w:sz w:val="20"/>
                          <w:szCs w:val="24"/>
                        </w:rPr>
                      </w:pPr>
                      <w:r>
                        <w:rPr>
                          <w:b/>
                          <w:color w:val="FFFFFF"/>
                          <w:spacing w:val="-2"/>
                          <w:w w:val="99"/>
                          <w:sz w:val="20"/>
                          <w:szCs w:val="24"/>
                          <w:lang w:val="az-Latn-AZ"/>
                        </w:rPr>
                        <w:t>İndeks</w:t>
                      </w:r>
                    </w:p>
                  </w:txbxContent>
                </v:textbox>
                <w10:wrap anchorx="page"/>
              </v:shape>
            </w:pict>
          </mc:Fallback>
        </mc:AlternateContent>
      </w:r>
      <w:r w:rsidR="003C64E0" w:rsidRPr="009C2EF2">
        <w:rPr>
          <w:rFonts w:ascii="Times New Roman" w:hAnsi="Times New Roman"/>
          <w:color w:val="231F20"/>
          <w:sz w:val="24"/>
          <w:szCs w:val="24"/>
          <w:lang w:val="az-Latn-AZ"/>
        </w:rPr>
        <w:t>metodlar</w:t>
      </w:r>
      <w:r w:rsidR="003C64E0" w:rsidRPr="009C2EF2">
        <w:rPr>
          <w:rFonts w:ascii="Times New Roman" w:hAnsi="Times New Roman"/>
          <w:color w:val="231F20"/>
          <w:sz w:val="24"/>
          <w:szCs w:val="24"/>
          <w:lang w:val="az-Latn-AZ"/>
        </w:rPr>
        <w:tab/>
        <w:t>37–42</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bazar yanaşması</w:t>
      </w:r>
      <w:r w:rsidRPr="009C2EF2">
        <w:rPr>
          <w:rFonts w:ascii="Times New Roman" w:hAnsi="Times New Roman"/>
          <w:color w:val="231F20"/>
          <w:sz w:val="24"/>
          <w:szCs w:val="24"/>
          <w:lang w:val="az-Latn-AZ"/>
        </w:rPr>
        <w:tab/>
        <w:t>30–36</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metodlar</w:t>
      </w:r>
      <w:r w:rsidRPr="009C2EF2">
        <w:rPr>
          <w:rFonts w:ascii="Times New Roman" w:hAnsi="Times New Roman"/>
          <w:color w:val="231F20"/>
          <w:sz w:val="24"/>
          <w:szCs w:val="24"/>
          <w:lang w:val="az-Latn-AZ"/>
        </w:rPr>
        <w:tab/>
        <w:t>31–35</w:t>
      </w:r>
    </w:p>
    <w:p w:rsidR="00D02DD9" w:rsidRPr="009C2EF2" w:rsidRDefault="003C64E0">
      <w:pPr>
        <w:pStyle w:val="a3"/>
        <w:tabs>
          <w:tab w:val="right" w:pos="6860"/>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sz w:val="24"/>
          <w:szCs w:val="24"/>
          <w:lang w:val="az-Latn-AZ"/>
        </w:rPr>
        <w:t>digər mülahizələr</w:t>
      </w:r>
      <w:r w:rsidRPr="009C2EF2">
        <w:rPr>
          <w:rFonts w:ascii="Times New Roman" w:hAnsi="Times New Roman"/>
          <w:color w:val="231F20"/>
          <w:sz w:val="24"/>
          <w:szCs w:val="24"/>
          <w:lang w:val="az-Latn-AZ"/>
        </w:rPr>
        <w:tab/>
        <w:t>35–36</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nəzarəti</w:t>
      </w:r>
      <w:r w:rsidRPr="009C2EF2">
        <w:rPr>
          <w:rFonts w:ascii="Times New Roman" w:hAnsi="Times New Roman"/>
          <w:color w:val="231F20"/>
          <w:sz w:val="24"/>
          <w:szCs w:val="24"/>
          <w:lang w:val="az-Latn-AZ"/>
        </w:rPr>
        <w:tab/>
        <w:t>106–107</w:t>
      </w:r>
    </w:p>
    <w:p w:rsidR="00D02DD9" w:rsidRPr="009C2EF2" w:rsidRDefault="003C64E0">
      <w:pPr>
        <w:pStyle w:val="a3"/>
        <w:tabs>
          <w:tab w:val="left" w:pos="6053"/>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tarixi</w:t>
      </w:r>
      <w:r w:rsidRPr="009C2EF2">
        <w:rPr>
          <w:rFonts w:ascii="Times New Roman" w:hAnsi="Times New Roman"/>
          <w:color w:val="231F20"/>
          <w:sz w:val="24"/>
          <w:szCs w:val="24"/>
          <w:lang w:val="az-Latn-AZ"/>
        </w:rPr>
        <w:tab/>
        <w:t>10, 19–20</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üzrə ilkin məlumatlar</w:t>
      </w:r>
      <w:r w:rsidRPr="009C2EF2">
        <w:rPr>
          <w:rFonts w:ascii="Times New Roman" w:hAnsi="Times New Roman"/>
          <w:color w:val="231F20"/>
          <w:sz w:val="24"/>
          <w:szCs w:val="24"/>
          <w:lang w:val="az-Latn-AZ"/>
        </w:rPr>
        <w:tab/>
        <w:t>103–104</w:t>
      </w:r>
    </w:p>
    <w:p w:rsidR="00D02DD9" w:rsidRPr="009C2EF2" w:rsidRDefault="003C64E0">
      <w:pPr>
        <w:pStyle w:val="a3"/>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məqsədi,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qiymətləndirmənin məqsədi</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qovluğu</w:t>
      </w:r>
      <w:r w:rsidRPr="009C2EF2">
        <w:rPr>
          <w:rFonts w:ascii="Times New Roman" w:hAnsi="Times New Roman"/>
          <w:color w:val="231F20"/>
          <w:sz w:val="24"/>
          <w:szCs w:val="24"/>
          <w:lang w:val="az-Latn-AZ"/>
        </w:rPr>
        <w:tab/>
        <w:t>13</w:t>
      </w:r>
    </w:p>
    <w:p w:rsidR="00D02DD9" w:rsidRPr="009C2EF2" w:rsidRDefault="003C64E0">
      <w:pPr>
        <w:pStyle w:val="a3"/>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 xml:space="preserve">qiymətləndirmə hesabatı, </w:t>
      </w:r>
      <w:r w:rsidRPr="009C2EF2">
        <w:rPr>
          <w:rFonts w:ascii="Times New Roman" w:hAnsi="Times New Roman"/>
          <w:i/>
          <w:color w:val="231F20"/>
          <w:sz w:val="24"/>
          <w:szCs w:val="24"/>
          <w:lang w:val="az-Latn-AZ"/>
        </w:rPr>
        <w:t>bax</w:t>
      </w:r>
      <w:r w:rsidRPr="009C2EF2">
        <w:rPr>
          <w:rFonts w:ascii="Times New Roman" w:hAnsi="Times New Roman"/>
          <w:color w:val="231F20"/>
          <w:sz w:val="24"/>
          <w:szCs w:val="24"/>
          <w:lang w:val="az-Latn-AZ"/>
        </w:rPr>
        <w:t>: Hesabat (BQS 103)</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üzrə icmal hesabat</w:t>
      </w:r>
      <w:r w:rsidRPr="009C2EF2">
        <w:rPr>
          <w:rFonts w:ascii="Times New Roman" w:hAnsi="Times New Roman"/>
          <w:color w:val="231F20"/>
          <w:sz w:val="24"/>
          <w:szCs w:val="24"/>
          <w:lang w:val="az-Latn-AZ"/>
        </w:rPr>
        <w:tab/>
        <w:t>15</w:t>
      </w:r>
    </w:p>
    <w:p w:rsidR="00D02DD9" w:rsidRPr="009C2EF2" w:rsidRDefault="003C64E0">
      <w:pPr>
        <w:pStyle w:val="a3"/>
        <w:tabs>
          <w:tab w:val="left" w:pos="6559"/>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qiymətləndirmə üzrə rəyçi</w:t>
      </w:r>
      <w:r w:rsidRPr="009C2EF2">
        <w:rPr>
          <w:rFonts w:ascii="Times New Roman" w:hAnsi="Times New Roman"/>
          <w:color w:val="231F20"/>
          <w:sz w:val="24"/>
          <w:szCs w:val="24"/>
          <w:lang w:val="az-Latn-AZ"/>
        </w:rPr>
        <w:tab/>
        <w:t>5, 6</w:t>
      </w:r>
    </w:p>
    <w:p w:rsidR="00D02DD9" w:rsidRPr="009C2EF2" w:rsidRDefault="003C64E0">
      <w:pPr>
        <w:pStyle w:val="a3"/>
        <w:tabs>
          <w:tab w:val="left" w:pos="6359"/>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qiymətləndirici</w:t>
      </w:r>
      <w:r w:rsidRPr="009C2EF2">
        <w:rPr>
          <w:rFonts w:ascii="Times New Roman" w:hAnsi="Times New Roman"/>
          <w:color w:val="231F20"/>
          <w:w w:val="95"/>
          <w:sz w:val="24"/>
          <w:szCs w:val="24"/>
          <w:lang w:val="az-Latn-AZ"/>
        </w:rPr>
        <w:tab/>
        <w:t>3, 4, 5</w:t>
      </w:r>
    </w:p>
    <w:p w:rsidR="00D02DD9" w:rsidRPr="009C2EF2" w:rsidRDefault="003C64E0">
      <w:pPr>
        <w:pStyle w:val="a3"/>
        <w:tabs>
          <w:tab w:val="left" w:pos="6065"/>
        </w:tabs>
        <w:kinsoku w:val="0"/>
        <w:overflowPunct w:val="0"/>
        <w:spacing w:before="9"/>
        <w:ind w:left="680"/>
        <w:rPr>
          <w:rFonts w:ascii="Times New Roman" w:hAnsi="Times New Roman"/>
          <w:color w:val="000000"/>
          <w:sz w:val="24"/>
          <w:szCs w:val="24"/>
          <w:lang w:val="az-Latn-AZ"/>
        </w:rPr>
      </w:pPr>
      <w:r w:rsidRPr="009C2EF2">
        <w:rPr>
          <w:rFonts w:ascii="Times New Roman" w:hAnsi="Times New Roman"/>
          <w:color w:val="231F20"/>
          <w:w w:val="95"/>
          <w:sz w:val="24"/>
          <w:szCs w:val="24"/>
          <w:lang w:val="az-Latn-AZ"/>
        </w:rPr>
        <w:t>obyektivlik</w:t>
      </w:r>
      <w:r w:rsidRPr="009C2EF2">
        <w:rPr>
          <w:rFonts w:ascii="Times New Roman" w:hAnsi="Times New Roman"/>
          <w:color w:val="231F20"/>
          <w:w w:val="95"/>
          <w:sz w:val="24"/>
          <w:szCs w:val="24"/>
          <w:lang w:val="az-Latn-AZ"/>
        </w:rPr>
        <w:tab/>
        <w:t>6–7, 9–10</w:t>
      </w:r>
    </w:p>
    <w:p w:rsidR="00D02DD9" w:rsidRPr="009C2EF2" w:rsidRDefault="00D02DD9">
      <w:pPr>
        <w:pStyle w:val="a3"/>
        <w:kinsoku w:val="0"/>
        <w:overflowPunct w:val="0"/>
        <w:spacing w:before="11"/>
        <w:ind w:left="0"/>
        <w:rPr>
          <w:rFonts w:ascii="Times New Roman" w:hAnsi="Times New Roman"/>
          <w:sz w:val="24"/>
          <w:szCs w:val="24"/>
          <w:lang w:val="az-Latn-AZ"/>
        </w:rPr>
      </w:pPr>
    </w:p>
    <w:p w:rsidR="00D02DD9" w:rsidRPr="009C2EF2" w:rsidRDefault="003C64E0">
      <w:pPr>
        <w:pStyle w:val="Heading21"/>
        <w:kinsoku w:val="0"/>
        <w:overflowPunct w:val="0"/>
        <w:spacing w:before="0" w:line="274" w:lineRule="exact"/>
        <w:outlineLvl w:val="9"/>
        <w:rPr>
          <w:rFonts w:ascii="Times New Roman" w:hAnsi="Times New Roman"/>
          <w:b w:val="0"/>
          <w:color w:val="000000"/>
          <w:szCs w:val="24"/>
          <w:lang w:val="az-Latn-AZ"/>
        </w:rPr>
      </w:pPr>
      <w:r w:rsidRPr="009C2EF2">
        <w:rPr>
          <w:rFonts w:ascii="Times New Roman" w:hAnsi="Times New Roman"/>
          <w:color w:val="231F20"/>
          <w:szCs w:val="24"/>
          <w:lang w:val="az-Latn-AZ"/>
        </w:rPr>
        <w:lastRenderedPageBreak/>
        <w:t>W</w:t>
      </w:r>
    </w:p>
    <w:p w:rsidR="00D02DD9" w:rsidRPr="009C2EF2" w:rsidRDefault="003C64E0">
      <w:pPr>
        <w:pStyle w:val="a3"/>
        <w:tabs>
          <w:tab w:val="right" w:pos="6860"/>
        </w:tabs>
        <w:kinsoku w:val="0"/>
        <w:overflowPunct w:val="0"/>
        <w:spacing w:line="205" w:lineRule="exact"/>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tükənən aktivlər</w:t>
      </w:r>
      <w:r w:rsidRPr="009C2EF2">
        <w:rPr>
          <w:rFonts w:ascii="Times New Roman" w:hAnsi="Times New Roman"/>
          <w:color w:val="231F20"/>
          <w:sz w:val="24"/>
          <w:szCs w:val="24"/>
          <w:lang w:val="az-Latn-AZ"/>
        </w:rPr>
        <w:tab/>
        <w:t>41–42</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çəki</w:t>
      </w:r>
      <w:r w:rsidRPr="009C2EF2">
        <w:rPr>
          <w:rFonts w:ascii="Times New Roman" w:hAnsi="Times New Roman"/>
          <w:color w:val="231F20"/>
          <w:sz w:val="24"/>
          <w:szCs w:val="24"/>
          <w:lang w:val="az-Latn-AZ"/>
        </w:rPr>
        <w:tab/>
        <w:t>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z w:val="24"/>
          <w:szCs w:val="24"/>
          <w:lang w:val="az-Latn-AZ"/>
        </w:rPr>
        <w:t>çəkinin müəyyən edilməsi</w:t>
      </w:r>
      <w:r w:rsidRPr="009C2EF2">
        <w:rPr>
          <w:rFonts w:ascii="Times New Roman" w:hAnsi="Times New Roman"/>
          <w:color w:val="231F20"/>
          <w:sz w:val="24"/>
          <w:szCs w:val="24"/>
          <w:lang w:val="az-Latn-AZ"/>
        </w:rPr>
        <w:tab/>
        <w:t>5</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qeyri-maddi aktivin daxil olub-olmadığı metod</w:t>
      </w:r>
      <w:r w:rsidRPr="009C2EF2">
        <w:rPr>
          <w:rFonts w:ascii="Times New Roman" w:hAnsi="Times New Roman"/>
          <w:color w:val="231F20"/>
          <w:spacing w:val="1"/>
          <w:sz w:val="24"/>
          <w:szCs w:val="24"/>
          <w:lang w:val="az-Latn-AZ"/>
        </w:rPr>
        <w:tab/>
        <w:t>66–67</w:t>
      </w:r>
    </w:p>
    <w:p w:rsidR="00D02DD9" w:rsidRPr="009C2EF2" w:rsidRDefault="003C64E0">
      <w:pPr>
        <w:pStyle w:val="a3"/>
        <w:tabs>
          <w:tab w:val="right" w:pos="6860"/>
        </w:tabs>
        <w:kinsoku w:val="0"/>
        <w:overflowPunct w:val="0"/>
        <w:spacing w:before="9"/>
        <w:ind w:left="113"/>
        <w:rPr>
          <w:rFonts w:ascii="Times New Roman" w:hAnsi="Times New Roman"/>
          <w:color w:val="000000"/>
          <w:sz w:val="24"/>
          <w:szCs w:val="24"/>
          <w:lang w:val="az-Latn-AZ"/>
        </w:rPr>
      </w:pPr>
      <w:r w:rsidRPr="009C2EF2">
        <w:rPr>
          <w:rFonts w:ascii="Times New Roman" w:hAnsi="Times New Roman"/>
          <w:color w:val="231F20"/>
          <w:spacing w:val="1"/>
          <w:sz w:val="24"/>
          <w:szCs w:val="24"/>
          <w:lang w:val="az-Latn-AZ"/>
        </w:rPr>
        <w:t>dəyər</w:t>
      </w:r>
      <w:r w:rsidRPr="009C2EF2">
        <w:rPr>
          <w:rFonts w:ascii="Times New Roman" w:hAnsi="Times New Roman"/>
          <w:color w:val="231F20"/>
          <w:spacing w:val="1"/>
          <w:sz w:val="24"/>
          <w:szCs w:val="24"/>
          <w:lang w:val="az-Latn-AZ"/>
        </w:rPr>
        <w:tab/>
        <w:t>22</w: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9"/>
        <w:ind w:left="0"/>
        <w:rPr>
          <w:rFonts w:ascii="Times New Roman" w:hAnsi="Times New Roman"/>
          <w:sz w:val="24"/>
          <w:szCs w:val="24"/>
          <w:lang w:val="az-Latn-AZ"/>
        </w:rPr>
      </w:pPr>
    </w:p>
    <w:p w:rsidR="00D02DD9" w:rsidRPr="009C2EF2" w:rsidRDefault="003C64E0">
      <w:pPr>
        <w:pStyle w:val="a3"/>
        <w:kinsoku w:val="0"/>
        <w:overflowPunct w:val="0"/>
        <w:ind w:left="2878" w:right="3725"/>
        <w:jc w:val="center"/>
        <w:rPr>
          <w:rFonts w:ascii="Times New Roman" w:hAnsi="Times New Roman"/>
          <w:color w:val="000000"/>
          <w:sz w:val="24"/>
          <w:szCs w:val="24"/>
          <w:lang w:val="az-Latn-AZ"/>
        </w:rPr>
      </w:pPr>
      <w:r w:rsidRPr="009C2EF2">
        <w:rPr>
          <w:rFonts w:ascii="Times New Roman" w:hAnsi="Times New Roman"/>
          <w:color w:val="231F20"/>
          <w:spacing w:val="-7"/>
          <w:sz w:val="24"/>
          <w:szCs w:val="24"/>
          <w:lang w:val="az-Latn-AZ"/>
        </w:rPr>
        <w:t>115</w:t>
      </w:r>
    </w:p>
    <w:p w:rsidR="00D02DD9" w:rsidRPr="009C2EF2" w:rsidRDefault="00D02DD9">
      <w:pPr>
        <w:pStyle w:val="a3"/>
        <w:kinsoku w:val="0"/>
        <w:overflowPunct w:val="0"/>
        <w:ind w:left="2878" w:right="3725"/>
        <w:jc w:val="center"/>
        <w:rPr>
          <w:rFonts w:ascii="Times New Roman" w:hAnsi="Times New Roman"/>
          <w:color w:val="000000"/>
          <w:sz w:val="24"/>
          <w:szCs w:val="24"/>
          <w:lang w:val="az-Latn-AZ"/>
        </w:rPr>
        <w:sectPr w:rsidR="00D02DD9" w:rsidRPr="009C2EF2">
          <w:footerReference w:type="default" r:id="rId121"/>
          <w:pgSz w:w="8850" w:h="13270"/>
          <w:pgMar w:top="0" w:right="0" w:bottom="0" w:left="1020" w:header="0" w:footer="0" w:gutter="0"/>
          <w:cols w:space="720"/>
        </w:sectPr>
      </w:pPr>
    </w:p>
    <w:p w:rsidR="00D02DD9" w:rsidRPr="009C2EF2" w:rsidRDefault="0075026C">
      <w:pPr>
        <w:pStyle w:val="a3"/>
        <w:kinsoku w:val="0"/>
        <w:overflowPunct w:val="0"/>
        <w:ind w:left="0"/>
        <w:rPr>
          <w:rFonts w:ascii="Times New Roman" w:hAnsi="Times New Roman"/>
          <w:sz w:val="24"/>
          <w:szCs w:val="24"/>
          <w:lang w:val="az-Latn-AZ"/>
        </w:rPr>
      </w:pPr>
      <w:r w:rsidRPr="009C2EF2">
        <w:rPr>
          <w:rFonts w:ascii="Times New Roman" w:hAnsi="Times New Roman"/>
          <w:noProof/>
          <w:color w:val="000000"/>
          <w:sz w:val="24"/>
          <w:szCs w:val="24"/>
          <w:lang w:val="ru-RU" w:eastAsia="ru-RU"/>
        </w:rPr>
        <w:lastRenderedPageBreak/>
        <mc:AlternateContent>
          <mc:Choice Requires="wpg">
            <w:drawing>
              <wp:anchor distT="0" distB="0" distL="114300" distR="114300" simplePos="0" relativeHeight="251774464" behindDoc="1" locked="0" layoutInCell="0" allowOverlap="1">
                <wp:simplePos x="0" y="0"/>
                <wp:positionH relativeFrom="page">
                  <wp:posOffset>0</wp:posOffset>
                </wp:positionH>
                <wp:positionV relativeFrom="page">
                  <wp:posOffset>0</wp:posOffset>
                </wp:positionV>
                <wp:extent cx="5619115" cy="7235825"/>
                <wp:effectExtent l="0" t="0" r="0" b="0"/>
                <wp:wrapNone/>
                <wp:docPr id="1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7235825"/>
                          <a:chOff x="0" y="0"/>
                          <a:chExt cx="8849" cy="11395"/>
                        </a:xfrm>
                      </wpg:grpSpPr>
                      <wps:wsp>
                        <wps:cNvPr id="353" name="Freeform 250"/>
                        <wps:cNvSpPr>
                          <a:spLocks/>
                        </wps:cNvSpPr>
                        <wps:spPr bwMode="auto">
                          <a:xfrm>
                            <a:off x="0" y="0"/>
                            <a:ext cx="8849" cy="11395"/>
                          </a:xfrm>
                          <a:custGeom>
                            <a:avLst/>
                            <a:gdLst>
                              <a:gd name="T0" fmla="*/ 0 w 8849"/>
                              <a:gd name="T1" fmla="*/ 11395 h 11395"/>
                              <a:gd name="T2" fmla="*/ 8848 w 8849"/>
                              <a:gd name="T3" fmla="*/ 11395 h 11395"/>
                              <a:gd name="T4" fmla="*/ 8848 w 8849"/>
                              <a:gd name="T5" fmla="*/ 0 h 11395"/>
                              <a:gd name="T6" fmla="*/ 0 w 8849"/>
                              <a:gd name="T7" fmla="*/ 0 h 11395"/>
                              <a:gd name="T8" fmla="*/ 0 w 8849"/>
                              <a:gd name="T9" fmla="*/ 11395 h 11395"/>
                            </a:gdLst>
                            <a:ahLst/>
                            <a:cxnLst>
                              <a:cxn ang="0">
                                <a:pos x="T0" y="T1"/>
                              </a:cxn>
                              <a:cxn ang="0">
                                <a:pos x="T2" y="T3"/>
                              </a:cxn>
                              <a:cxn ang="0">
                                <a:pos x="T4" y="T5"/>
                              </a:cxn>
                              <a:cxn ang="0">
                                <a:pos x="T6" y="T7"/>
                              </a:cxn>
                              <a:cxn ang="0">
                                <a:pos x="T8" y="T9"/>
                              </a:cxn>
                            </a:cxnLst>
                            <a:rect l="0" t="0" r="r" b="b"/>
                            <a:pathLst>
                              <a:path w="8849" h="11395">
                                <a:moveTo>
                                  <a:pt x="0" y="11395"/>
                                </a:moveTo>
                                <a:lnTo>
                                  <a:pt x="8848" y="11395"/>
                                </a:lnTo>
                                <a:lnTo>
                                  <a:pt x="8848" y="0"/>
                                </a:lnTo>
                                <a:lnTo>
                                  <a:pt x="0" y="0"/>
                                </a:lnTo>
                                <a:lnTo>
                                  <a:pt x="0" y="11395"/>
                                </a:lnTo>
                              </a:path>
                            </a:pathLst>
                          </a:custGeom>
                          <a:solidFill>
                            <a:srgbClr val="9A1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251"/>
                        <wps:cNvSpPr>
                          <a:spLocks noChangeArrowheads="1"/>
                        </wps:cNvSpPr>
                        <wps:spPr bwMode="auto">
                          <a:xfrm>
                            <a:off x="2152" y="0"/>
                            <a:ext cx="6700" cy="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autoSpaceDE/>
                                <w:autoSpaceDN/>
                                <w:adjustRightInd/>
                                <w:spacing w:line="11400" w:lineRule="atLeast"/>
                                <w:rPr>
                                  <w:sz w:val="24"/>
                                  <w:szCs w:val="24"/>
                                </w:rPr>
                              </w:pPr>
                              <w:r>
                                <w:rPr>
                                  <w:noProof/>
                                  <w:sz w:val="24"/>
                                  <w:szCs w:val="24"/>
                                  <w:lang w:val="ru-RU" w:eastAsia="ru-RU"/>
                                </w:rPr>
                                <w:drawing>
                                  <wp:inline distT="0" distB="0" distL="0" distR="0">
                                    <wp:extent cx="4305300" cy="732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05300" cy="7324725"/>
                                            </a:xfrm>
                                            <a:prstGeom prst="rect">
                                              <a:avLst/>
                                            </a:prstGeom>
                                            <a:noFill/>
                                            <a:ln>
                                              <a:noFill/>
                                            </a:ln>
                                          </pic:spPr>
                                        </pic:pic>
                                      </a:graphicData>
                                    </a:graphic>
                                  </wp:inline>
                                </w:drawing>
                              </w:r>
                            </w:p>
                            <w:p w:rsidR="0072444D" w:rsidRDefault="0072444D">
                              <w:pPr>
                                <w:widowControl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54" style="position:absolute;margin-left:0;margin-top:0;width:442.45pt;height:569.75pt;z-index:-251542016;mso-position-horizontal-relative:page;mso-position-vertical-relative:page" coordsize="8849,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" o:allowincell="f">
                <v:shape id="Freeform 250" o:spid="_x0000_s1155" style="position:absolute;width:8849;height:11395;visibility:visible;mso-wrap-style:square;v-text-anchor:top" coordsize="8849,1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IsUA&#10;AADcAAAADwAAAGRycy9kb3ducmV2LnhtbESPQWvCQBSE74X+h+UJvdWNhtiSukrRWnIqJqn3R/aZ&#10;BLNvQ3aN8d93C4Ueh5n5hllvJ9OJkQbXWlawmEcgiCurW64VfJeH51cQziNr7CyTgjs52G4eH9aY&#10;anvjnMbC1yJA2KWooPG+T6V0VUMG3dz2xME728GgD3KopR7wFuCmk8soWkmDLYeFBnvaNVRdiqtR&#10;oFfm5etjP2qXdZ/5pUwW8el4UuppNr2/gfA0+f/wXzvTCuIk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YixQAAANwAAAAPAAAAAAAAAAAAAAAAAJgCAABkcnMv&#10;ZG93bnJldi54bWxQSwUGAAAAAAQABAD1AAAAigMAAAAA&#10;" path="m,11395r8848,l8848,,,,,11395e" fillcolor="#9a1e7b" stroked="f">
                  <v:path arrowok="t" o:connecttype="custom" o:connectlocs="0,11395;8848,11395;8848,0;0,0;0,11395" o:connectangles="0,0,0,0,0"/>
                </v:shape>
                <v:rect id="Rectangle 251" o:spid="_x0000_s1156" style="position:absolute;left:2152;width:6700;height:1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72444D" w:rsidRDefault="0072444D">
                        <w:pPr>
                          <w:autoSpaceDE/>
                          <w:autoSpaceDN/>
                          <w:adjustRightInd/>
                          <w:spacing w:line="11400" w:lineRule="atLeast"/>
                          <w:rPr>
                            <w:sz w:val="24"/>
                            <w:szCs w:val="24"/>
                          </w:rPr>
                        </w:pPr>
                        <w:r>
                          <w:rPr>
                            <w:noProof/>
                            <w:sz w:val="24"/>
                            <w:szCs w:val="24"/>
                            <w:lang w:val="ru-RU" w:eastAsia="ru-RU"/>
                          </w:rPr>
                          <w:drawing>
                            <wp:inline distT="0" distB="0" distL="0" distR="0">
                              <wp:extent cx="4305300" cy="732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05300" cy="7324725"/>
                                      </a:xfrm>
                                      <a:prstGeom prst="rect">
                                        <a:avLst/>
                                      </a:prstGeom>
                                      <a:noFill/>
                                      <a:ln>
                                        <a:noFill/>
                                      </a:ln>
                                    </pic:spPr>
                                  </pic:pic>
                                </a:graphicData>
                              </a:graphic>
                            </wp:inline>
                          </w:drawing>
                        </w:r>
                      </w:p>
                      <w:p w:rsidR="0072444D" w:rsidRDefault="0072444D">
                        <w:pPr>
                          <w:widowControl w:val="0"/>
                          <w:rPr>
                            <w:sz w:val="24"/>
                            <w:szCs w:val="24"/>
                          </w:rPr>
                        </w:pPr>
                      </w:p>
                    </w:txbxContent>
                  </v:textbox>
                </v:rect>
                <w10:wrap anchorx="page" anchory="page"/>
              </v:group>
            </w:pict>
          </mc:Fallback>
        </mc:AlternateContent>
      </w: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ind w:left="0"/>
        <w:rPr>
          <w:rFonts w:ascii="Times New Roman" w:hAnsi="Times New Roman"/>
          <w:sz w:val="24"/>
          <w:szCs w:val="24"/>
          <w:lang w:val="az-Latn-AZ"/>
        </w:rPr>
      </w:pPr>
    </w:p>
    <w:p w:rsidR="00D02DD9" w:rsidRPr="009C2EF2" w:rsidRDefault="00D02DD9">
      <w:pPr>
        <w:pStyle w:val="a3"/>
        <w:kinsoku w:val="0"/>
        <w:overflowPunct w:val="0"/>
        <w:spacing w:before="4"/>
        <w:ind w:left="0"/>
        <w:rPr>
          <w:rFonts w:ascii="Times New Roman" w:hAnsi="Times New Roman"/>
          <w:sz w:val="24"/>
          <w:szCs w:val="24"/>
          <w:lang w:val="az-Latn-AZ"/>
        </w:rPr>
      </w:pPr>
    </w:p>
    <w:p w:rsidR="00D02DD9" w:rsidRPr="009C2EF2" w:rsidRDefault="003C64E0">
      <w:pPr>
        <w:pStyle w:val="a3"/>
        <w:kinsoku w:val="0"/>
        <w:overflowPunct w:val="0"/>
        <w:ind w:left="112"/>
        <w:rPr>
          <w:rFonts w:ascii="Times New Roman" w:hAnsi="Times New Roman"/>
          <w:color w:val="000000"/>
          <w:sz w:val="24"/>
          <w:szCs w:val="24"/>
          <w:lang w:val="az-Latn-AZ"/>
        </w:rPr>
      </w:pPr>
      <w:r w:rsidRPr="009C2EF2">
        <w:rPr>
          <w:rFonts w:ascii="Times New Roman" w:hAnsi="Times New Roman"/>
          <w:b/>
          <w:color w:val="FFFFFF"/>
          <w:spacing w:val="-6"/>
          <w:w w:val="105"/>
          <w:sz w:val="24"/>
          <w:szCs w:val="24"/>
          <w:lang w:val="az-Latn-AZ"/>
        </w:rPr>
        <w:t>Beynəlxalq Qiymətləndirmə Standartları</w:t>
      </w:r>
    </w:p>
    <w:p w:rsidR="00D02DD9" w:rsidRPr="009C2EF2" w:rsidRDefault="00D02DD9">
      <w:pPr>
        <w:pStyle w:val="a3"/>
        <w:kinsoku w:val="0"/>
        <w:overflowPunct w:val="0"/>
        <w:spacing w:before="8"/>
        <w:ind w:left="0"/>
        <w:rPr>
          <w:rFonts w:ascii="Times New Roman" w:hAnsi="Times New Roman"/>
          <w:b/>
          <w:sz w:val="24"/>
          <w:szCs w:val="24"/>
          <w:lang w:val="az-Latn-AZ"/>
        </w:rPr>
      </w:pPr>
    </w:p>
    <w:p w:rsidR="00D02DD9" w:rsidRPr="009C2EF2" w:rsidRDefault="003C64E0">
      <w:pPr>
        <w:pStyle w:val="a3"/>
        <w:kinsoku w:val="0"/>
        <w:overflowPunct w:val="0"/>
        <w:spacing w:line="250" w:lineRule="auto"/>
        <w:ind w:left="112" w:right="3473"/>
        <w:rPr>
          <w:rFonts w:ascii="Times New Roman" w:hAnsi="Times New Roman"/>
          <w:color w:val="000000"/>
          <w:sz w:val="24"/>
          <w:szCs w:val="24"/>
          <w:lang w:val="az-Latn-AZ"/>
        </w:rPr>
      </w:pPr>
      <w:r w:rsidRPr="009C2EF2">
        <w:rPr>
          <w:rFonts w:ascii="Times New Roman" w:hAnsi="Times New Roman"/>
          <w:b/>
          <w:color w:val="FFFFFF"/>
          <w:spacing w:val="-1"/>
          <w:w w:val="105"/>
          <w:sz w:val="24"/>
          <w:szCs w:val="24"/>
          <w:lang w:val="az-Latn-AZ"/>
        </w:rPr>
        <w:t>Beynəlxalq Qiymətləndirmə Standartları Şurası, King Street 1, London EC2V 8AU,</w:t>
      </w:r>
    </w:p>
    <w:p w:rsidR="00D02DD9" w:rsidRPr="009C2EF2" w:rsidRDefault="003C64E0">
      <w:pPr>
        <w:pStyle w:val="a3"/>
        <w:kinsoku w:val="0"/>
        <w:overflowPunct w:val="0"/>
        <w:ind w:left="112"/>
        <w:rPr>
          <w:rFonts w:ascii="Times New Roman" w:hAnsi="Times New Roman"/>
          <w:color w:val="000000"/>
          <w:sz w:val="24"/>
          <w:szCs w:val="24"/>
          <w:lang w:val="az-Latn-AZ"/>
        </w:rPr>
      </w:pPr>
      <w:r w:rsidRPr="009C2EF2">
        <w:rPr>
          <w:rFonts w:ascii="Times New Roman" w:hAnsi="Times New Roman"/>
          <w:b/>
          <w:color w:val="FFFFFF"/>
          <w:spacing w:val="-1"/>
          <w:w w:val="105"/>
          <w:sz w:val="24"/>
          <w:szCs w:val="24"/>
          <w:lang w:val="az-Latn-AZ"/>
        </w:rPr>
        <w:t>Birləşmiş Krallıq</w:t>
      </w: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3C64E0">
      <w:pPr>
        <w:pStyle w:val="a3"/>
        <w:tabs>
          <w:tab w:val="left" w:pos="2280"/>
        </w:tabs>
        <w:kinsoku w:val="0"/>
        <w:overflowPunct w:val="0"/>
        <w:spacing w:before="142"/>
        <w:ind w:left="112"/>
        <w:rPr>
          <w:rFonts w:ascii="Times New Roman" w:hAnsi="Times New Roman"/>
          <w:color w:val="000000"/>
          <w:sz w:val="24"/>
          <w:szCs w:val="24"/>
          <w:lang w:val="az-Latn-AZ"/>
        </w:rPr>
      </w:pPr>
      <w:r w:rsidRPr="009C2EF2">
        <w:rPr>
          <w:rFonts w:ascii="Times New Roman" w:hAnsi="Times New Roman"/>
          <w:b/>
          <w:color w:val="FFFFFF"/>
          <w:spacing w:val="-5"/>
          <w:sz w:val="24"/>
          <w:szCs w:val="24"/>
          <w:lang w:val="az-Latn-AZ"/>
        </w:rPr>
        <w:lastRenderedPageBreak/>
        <w:t xml:space="preserve">E-poçt: </w:t>
      </w:r>
      <w:hyperlink r:id="rId123" w:history="1">
        <w:r w:rsidRPr="009C2EF2">
          <w:rPr>
            <w:rFonts w:ascii="Times New Roman" w:hAnsi="Times New Roman"/>
            <w:b/>
            <w:color w:val="FFFFFF"/>
            <w:spacing w:val="-5"/>
            <w:sz w:val="24"/>
            <w:szCs w:val="24"/>
            <w:lang w:val="az-Latn-AZ"/>
          </w:rPr>
          <w:t>contact@ivsc.org</w:t>
        </w:r>
      </w:hyperlink>
      <w:r w:rsidRPr="009C2EF2">
        <w:rPr>
          <w:rFonts w:ascii="Times New Roman" w:hAnsi="Times New Roman"/>
          <w:b/>
          <w:color w:val="FFFFFF"/>
          <w:spacing w:val="-5"/>
          <w:sz w:val="24"/>
          <w:szCs w:val="24"/>
          <w:lang w:val="az-Latn-AZ"/>
        </w:rPr>
        <w:tab/>
        <w:t xml:space="preserve">Veb-sayt: </w:t>
      </w:r>
      <w:hyperlink r:id="rId124" w:history="1">
        <w:r w:rsidRPr="009C2EF2">
          <w:rPr>
            <w:rFonts w:ascii="Times New Roman" w:hAnsi="Times New Roman"/>
            <w:b/>
            <w:color w:val="FFFFFF"/>
            <w:spacing w:val="-6"/>
            <w:w w:val="105"/>
            <w:sz w:val="24"/>
            <w:szCs w:val="24"/>
            <w:lang w:val="az-Latn-AZ"/>
          </w:rPr>
          <w:t>www.ivsc.org</w:t>
        </w:r>
      </w:hyperlink>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ind w:left="0"/>
        <w:rPr>
          <w:rFonts w:ascii="Times New Roman" w:hAnsi="Times New Roman"/>
          <w:b/>
          <w:sz w:val="24"/>
          <w:szCs w:val="24"/>
          <w:lang w:val="az-Latn-AZ"/>
        </w:rPr>
      </w:pPr>
    </w:p>
    <w:p w:rsidR="00D02DD9" w:rsidRPr="009C2EF2" w:rsidRDefault="00D02DD9">
      <w:pPr>
        <w:pStyle w:val="a3"/>
        <w:kinsoku w:val="0"/>
        <w:overflowPunct w:val="0"/>
        <w:spacing w:before="9"/>
        <w:ind w:left="0"/>
        <w:rPr>
          <w:rFonts w:ascii="Times New Roman" w:hAnsi="Times New Roman"/>
          <w:b/>
          <w:sz w:val="24"/>
          <w:szCs w:val="24"/>
          <w:lang w:val="az-Latn-AZ"/>
        </w:rPr>
      </w:pPr>
    </w:p>
    <w:p w:rsidR="00D02DD9" w:rsidRPr="009C2EF2" w:rsidRDefault="0075026C">
      <w:pPr>
        <w:pStyle w:val="a3"/>
        <w:tabs>
          <w:tab w:val="left" w:pos="1295"/>
        </w:tabs>
        <w:kinsoku w:val="0"/>
        <w:overflowPunct w:val="0"/>
        <w:spacing w:line="200" w:lineRule="atLeast"/>
        <w:ind w:left="124"/>
        <w:rPr>
          <w:rFonts w:ascii="Times New Roman" w:hAnsi="Times New Roman"/>
          <w:position w:val="5"/>
          <w:sz w:val="24"/>
          <w:szCs w:val="24"/>
          <w:lang w:val="az-Latn-AZ"/>
        </w:rPr>
      </w:pPr>
      <w:r w:rsidRPr="009C2EF2">
        <w:rPr>
          <w:rFonts w:ascii="Times New Roman" w:hAnsi="Times New Roman"/>
          <w:noProof/>
          <w:sz w:val="24"/>
          <w:szCs w:val="24"/>
          <w:lang w:val="ru-RU" w:eastAsia="ru-RU"/>
        </w:rPr>
        <w:drawing>
          <wp:inline distT="0" distB="0" distL="0" distR="0">
            <wp:extent cx="619125"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003C64E0" w:rsidRPr="009C2EF2">
        <w:rPr>
          <w:rFonts w:ascii="Times New Roman" w:hAnsi="Times New Roman"/>
          <w:sz w:val="24"/>
          <w:szCs w:val="24"/>
          <w:lang w:val="az-Latn-AZ"/>
        </w:rPr>
        <w:t xml:space="preserve"> </w:t>
      </w:r>
      <w:r w:rsidR="003C64E0" w:rsidRPr="009C2EF2">
        <w:rPr>
          <w:rFonts w:ascii="Times New Roman" w:hAnsi="Times New Roman"/>
          <w:sz w:val="24"/>
          <w:szCs w:val="24"/>
          <w:lang w:val="az-Latn-AZ"/>
        </w:rPr>
        <w:tab/>
      </w:r>
      <w:r w:rsidRPr="009C2EF2">
        <w:rPr>
          <w:rFonts w:ascii="Times New Roman" w:hAnsi="Times New Roman"/>
          <w:noProof/>
          <w:position w:val="5"/>
          <w:sz w:val="24"/>
          <w:szCs w:val="24"/>
          <w:lang w:val="ru-RU" w:eastAsia="ru-RU"/>
        </w:rPr>
        <mc:AlternateContent>
          <mc:Choice Requires="wpg">
            <w:drawing>
              <wp:inline distT="0" distB="0" distL="0" distR="0">
                <wp:extent cx="2623820" cy="322580"/>
                <wp:effectExtent l="0" t="0" r="5080" b="0"/>
                <wp:docPr id="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322580"/>
                          <a:chOff x="0" y="0"/>
                          <a:chExt cx="4132" cy="508"/>
                        </a:xfrm>
                      </wpg:grpSpPr>
                      <wps:wsp>
                        <wps:cNvPr id="356" name="Rectangle 255"/>
                        <wps:cNvSpPr>
                          <a:spLocks noChangeArrowheads="1"/>
                        </wps:cNvSpPr>
                        <wps:spPr bwMode="auto">
                          <a:xfrm>
                            <a:off x="0" y="0"/>
                            <a:ext cx="36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autoSpaceDE/>
                                <w:autoSpaceDN/>
                                <w:adjustRightInd/>
                                <w:spacing w:line="500" w:lineRule="atLeast"/>
                                <w:rPr>
                                  <w:sz w:val="24"/>
                                  <w:szCs w:val="24"/>
                                </w:rPr>
                              </w:pPr>
                              <w:r>
                                <w:rPr>
                                  <w:noProof/>
                                  <w:sz w:val="24"/>
                                  <w:szCs w:val="24"/>
                                  <w:lang w:val="ru-RU" w:eastAsia="ru-RU"/>
                                </w:rPr>
                                <w:drawing>
                                  <wp:inline distT="0" distB="0" distL="0" distR="0">
                                    <wp:extent cx="2295525"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323850"/>
                                            </a:xfrm>
                                            <a:prstGeom prst="rect">
                                              <a:avLst/>
                                            </a:prstGeom>
                                            <a:noFill/>
                                            <a:ln>
                                              <a:noFill/>
                                            </a:ln>
                                          </pic:spPr>
                                        </pic:pic>
                                      </a:graphicData>
                                    </a:graphic>
                                  </wp:inline>
                                </w:drawing>
                              </w:r>
                            </w:p>
                            <w:p w:rsidR="0072444D" w:rsidRDefault="0072444D">
                              <w:pPr>
                                <w:widowControl w:val="0"/>
                                <w:rPr>
                                  <w:sz w:val="24"/>
                                  <w:szCs w:val="24"/>
                                </w:rPr>
                              </w:pPr>
                            </w:p>
                          </w:txbxContent>
                        </wps:txbx>
                        <wps:bodyPr rot="0" vert="horz" wrap="square" lIns="0" tIns="0" rIns="0" bIns="0" anchor="t" anchorCtr="0" upright="1">
                          <a:noAutofit/>
                        </wps:bodyPr>
                      </wps:wsp>
                      <wps:wsp>
                        <wps:cNvPr id="357" name="Freeform 257"/>
                        <wps:cNvSpPr>
                          <a:spLocks/>
                        </wps:cNvSpPr>
                        <wps:spPr bwMode="auto">
                          <a:xfrm>
                            <a:off x="3655" y="27"/>
                            <a:ext cx="20" cy="169"/>
                          </a:xfrm>
                          <a:custGeom>
                            <a:avLst/>
                            <a:gdLst>
                              <a:gd name="T0" fmla="*/ 0 w 20"/>
                              <a:gd name="T1" fmla="*/ 0 h 169"/>
                              <a:gd name="T2" fmla="*/ 0 w 20"/>
                              <a:gd name="T3" fmla="*/ 168 h 169"/>
                            </a:gdLst>
                            <a:ahLst/>
                            <a:cxnLst>
                              <a:cxn ang="0">
                                <a:pos x="T0" y="T1"/>
                              </a:cxn>
                              <a:cxn ang="0">
                                <a:pos x="T2" y="T3"/>
                              </a:cxn>
                            </a:cxnLst>
                            <a:rect l="0" t="0" r="r" b="b"/>
                            <a:pathLst>
                              <a:path w="20" h="169">
                                <a:moveTo>
                                  <a:pt x="0" y="0"/>
                                </a:moveTo>
                                <a:lnTo>
                                  <a:pt x="0" y="168"/>
                                </a:lnTo>
                              </a:path>
                            </a:pathLst>
                          </a:custGeom>
                          <a:noFill/>
                          <a:ln w="33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8" name="Group 258"/>
                        <wpg:cNvGrpSpPr>
                          <a:grpSpLocks/>
                        </wpg:cNvGrpSpPr>
                        <wpg:grpSpPr bwMode="auto">
                          <a:xfrm>
                            <a:off x="3719" y="24"/>
                            <a:ext cx="192" cy="174"/>
                            <a:chOff x="3719" y="24"/>
                            <a:chExt cx="192" cy="174"/>
                          </a:xfrm>
                        </wpg:grpSpPr>
                        <wps:wsp>
                          <wps:cNvPr id="359" name="Freeform 259"/>
                          <wps:cNvSpPr>
                            <a:spLocks/>
                          </wps:cNvSpPr>
                          <wps:spPr bwMode="auto">
                            <a:xfrm>
                              <a:off x="3719" y="24"/>
                              <a:ext cx="192" cy="174"/>
                            </a:xfrm>
                            <a:custGeom>
                              <a:avLst/>
                              <a:gdLst>
                                <a:gd name="T0" fmla="*/ 0 w 192"/>
                                <a:gd name="T1" fmla="*/ 90 h 174"/>
                                <a:gd name="T2" fmla="*/ 3 w 192"/>
                                <a:gd name="T3" fmla="*/ 110 h 174"/>
                                <a:gd name="T4" fmla="*/ 10 w 192"/>
                                <a:gd name="T5" fmla="*/ 129 h 174"/>
                                <a:gd name="T6" fmla="*/ 19 w 192"/>
                                <a:gd name="T7" fmla="*/ 141 h 174"/>
                                <a:gd name="T8" fmla="*/ 33 w 192"/>
                                <a:gd name="T9" fmla="*/ 154 h 174"/>
                                <a:gd name="T10" fmla="*/ 56 w 192"/>
                                <a:gd name="T11" fmla="*/ 167 h 174"/>
                                <a:gd name="T12" fmla="*/ 75 w 192"/>
                                <a:gd name="T13" fmla="*/ 171 h 174"/>
                                <a:gd name="T14" fmla="*/ 98 w 192"/>
                                <a:gd name="T15" fmla="*/ 173 h 174"/>
                                <a:gd name="T16" fmla="*/ 117 w 192"/>
                                <a:gd name="T17" fmla="*/ 171 h 174"/>
                                <a:gd name="T18" fmla="*/ 136 w 192"/>
                                <a:gd name="T19" fmla="*/ 166 h 174"/>
                                <a:gd name="T20" fmla="*/ 156 w 192"/>
                                <a:gd name="T21" fmla="*/ 156 h 174"/>
                                <a:gd name="T22" fmla="*/ 170 w 192"/>
                                <a:gd name="T23" fmla="*/ 143 h 174"/>
                                <a:gd name="T24" fmla="*/ 182 w 192"/>
                                <a:gd name="T25" fmla="*/ 125 h 174"/>
                                <a:gd name="T26" fmla="*/ 189 w 192"/>
                                <a:gd name="T27" fmla="*/ 106 h 174"/>
                                <a:gd name="T28" fmla="*/ 191 w 192"/>
                                <a:gd name="T29" fmla="*/ 86 h 174"/>
                                <a:gd name="T30" fmla="*/ 191 w 192"/>
                                <a:gd name="T31" fmla="*/ 74 h 174"/>
                                <a:gd name="T32" fmla="*/ 189 w 192"/>
                                <a:gd name="T33" fmla="*/ 63 h 174"/>
                                <a:gd name="T34" fmla="*/ 181 w 192"/>
                                <a:gd name="T35" fmla="*/ 42 h 174"/>
                                <a:gd name="T36" fmla="*/ 175 w 192"/>
                                <a:gd name="T37" fmla="*/ 33 h 174"/>
                                <a:gd name="T38" fmla="*/ 166 w 192"/>
                                <a:gd name="T39" fmla="*/ 24 h 174"/>
                                <a:gd name="T40" fmla="*/ 152 w 192"/>
                                <a:gd name="T41" fmla="*/ 14 h 174"/>
                                <a:gd name="T42" fmla="*/ 139 w 192"/>
                                <a:gd name="T43" fmla="*/ 8 h 174"/>
                                <a:gd name="T44" fmla="*/ 139 w 192"/>
                                <a:gd name="T45" fmla="*/ 95 h 174"/>
                                <a:gd name="T46" fmla="*/ 137 w 192"/>
                                <a:gd name="T47" fmla="*/ 102 h 174"/>
                                <a:gd name="T48" fmla="*/ 131 w 192"/>
                                <a:gd name="T49" fmla="*/ 115 h 174"/>
                                <a:gd name="T50" fmla="*/ 126 w 192"/>
                                <a:gd name="T51" fmla="*/ 120 h 174"/>
                                <a:gd name="T52" fmla="*/ 113 w 192"/>
                                <a:gd name="T53" fmla="*/ 128 h 174"/>
                                <a:gd name="T54" fmla="*/ 105 w 192"/>
                                <a:gd name="T55" fmla="*/ 129 h 174"/>
                                <a:gd name="T56" fmla="*/ 82 w 192"/>
                                <a:gd name="T57" fmla="*/ 129 h 174"/>
                                <a:gd name="T58" fmla="*/ 71 w 192"/>
                                <a:gd name="T59" fmla="*/ 125 h 174"/>
                                <a:gd name="T60" fmla="*/ 55 w 192"/>
                                <a:gd name="T61" fmla="*/ 109 h 174"/>
                                <a:gd name="T62" fmla="*/ 51 w 192"/>
                                <a:gd name="T63" fmla="*/ 99 h 174"/>
                                <a:gd name="T64" fmla="*/ 51 w 192"/>
                                <a:gd name="T65" fmla="*/ 8 h 174"/>
                                <a:gd name="T66" fmla="*/ 33 w 192"/>
                                <a:gd name="T67" fmla="*/ 18 h 174"/>
                                <a:gd name="T68" fmla="*/ 19 w 192"/>
                                <a:gd name="T69" fmla="*/ 31 h 174"/>
                                <a:gd name="T70" fmla="*/ 7 w 192"/>
                                <a:gd name="T71" fmla="*/ 50 h 174"/>
                                <a:gd name="T72" fmla="*/ 1 w 192"/>
                                <a:gd name="T73" fmla="*/ 68 h 174"/>
                                <a:gd name="T74" fmla="*/ 0 w 192"/>
                                <a:gd name="T75" fmla="*/ 9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74">
                                  <a:moveTo>
                                    <a:pt x="0" y="90"/>
                                  </a:moveTo>
                                  <a:lnTo>
                                    <a:pt x="3" y="110"/>
                                  </a:lnTo>
                                  <a:lnTo>
                                    <a:pt x="10" y="129"/>
                                  </a:lnTo>
                                  <a:lnTo>
                                    <a:pt x="19" y="141"/>
                                  </a:lnTo>
                                  <a:lnTo>
                                    <a:pt x="33" y="154"/>
                                  </a:lnTo>
                                  <a:lnTo>
                                    <a:pt x="56" y="167"/>
                                  </a:lnTo>
                                  <a:lnTo>
                                    <a:pt x="75" y="171"/>
                                  </a:lnTo>
                                  <a:lnTo>
                                    <a:pt x="98" y="173"/>
                                  </a:lnTo>
                                  <a:lnTo>
                                    <a:pt x="117" y="171"/>
                                  </a:lnTo>
                                  <a:lnTo>
                                    <a:pt x="136" y="166"/>
                                  </a:lnTo>
                                  <a:lnTo>
                                    <a:pt x="156" y="156"/>
                                  </a:lnTo>
                                  <a:lnTo>
                                    <a:pt x="170" y="143"/>
                                  </a:lnTo>
                                  <a:lnTo>
                                    <a:pt x="182" y="125"/>
                                  </a:lnTo>
                                  <a:lnTo>
                                    <a:pt x="189" y="106"/>
                                  </a:lnTo>
                                  <a:lnTo>
                                    <a:pt x="191" y="86"/>
                                  </a:lnTo>
                                  <a:lnTo>
                                    <a:pt x="191" y="74"/>
                                  </a:lnTo>
                                  <a:lnTo>
                                    <a:pt x="189" y="63"/>
                                  </a:lnTo>
                                  <a:lnTo>
                                    <a:pt x="181" y="42"/>
                                  </a:lnTo>
                                  <a:lnTo>
                                    <a:pt x="175" y="33"/>
                                  </a:lnTo>
                                  <a:lnTo>
                                    <a:pt x="166" y="24"/>
                                  </a:lnTo>
                                  <a:lnTo>
                                    <a:pt x="152" y="14"/>
                                  </a:lnTo>
                                  <a:lnTo>
                                    <a:pt x="139" y="8"/>
                                  </a:lnTo>
                                  <a:lnTo>
                                    <a:pt x="139" y="95"/>
                                  </a:lnTo>
                                  <a:lnTo>
                                    <a:pt x="137" y="102"/>
                                  </a:lnTo>
                                  <a:lnTo>
                                    <a:pt x="131" y="115"/>
                                  </a:lnTo>
                                  <a:lnTo>
                                    <a:pt x="126" y="120"/>
                                  </a:lnTo>
                                  <a:lnTo>
                                    <a:pt x="113" y="128"/>
                                  </a:lnTo>
                                  <a:lnTo>
                                    <a:pt x="105" y="129"/>
                                  </a:lnTo>
                                  <a:lnTo>
                                    <a:pt x="82" y="129"/>
                                  </a:lnTo>
                                  <a:lnTo>
                                    <a:pt x="71" y="125"/>
                                  </a:lnTo>
                                  <a:lnTo>
                                    <a:pt x="55" y="109"/>
                                  </a:lnTo>
                                  <a:lnTo>
                                    <a:pt x="51" y="99"/>
                                  </a:lnTo>
                                  <a:lnTo>
                                    <a:pt x="51" y="8"/>
                                  </a:lnTo>
                                  <a:lnTo>
                                    <a:pt x="33" y="18"/>
                                  </a:lnTo>
                                  <a:lnTo>
                                    <a:pt x="19" y="31"/>
                                  </a:lnTo>
                                  <a:lnTo>
                                    <a:pt x="7" y="50"/>
                                  </a:lnTo>
                                  <a:lnTo>
                                    <a:pt x="1" y="68"/>
                                  </a:lnTo>
                                  <a:lnTo>
                                    <a:pt x="0" y="9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60"/>
                          <wps:cNvSpPr>
                            <a:spLocks/>
                          </wps:cNvSpPr>
                          <wps:spPr bwMode="auto">
                            <a:xfrm>
                              <a:off x="3719" y="24"/>
                              <a:ext cx="192" cy="174"/>
                            </a:xfrm>
                            <a:custGeom>
                              <a:avLst/>
                              <a:gdLst>
                                <a:gd name="T0" fmla="*/ 51 w 192"/>
                                <a:gd name="T1" fmla="*/ 8 h 174"/>
                                <a:gd name="T2" fmla="*/ 51 w 192"/>
                                <a:gd name="T3" fmla="*/ 73 h 174"/>
                                <a:gd name="T4" fmla="*/ 55 w 192"/>
                                <a:gd name="T5" fmla="*/ 63 h 174"/>
                                <a:gd name="T6" fmla="*/ 71 w 192"/>
                                <a:gd name="T7" fmla="*/ 47 h 174"/>
                                <a:gd name="T8" fmla="*/ 82 w 192"/>
                                <a:gd name="T9" fmla="*/ 43 h 174"/>
                                <a:gd name="T10" fmla="*/ 102 w 192"/>
                                <a:gd name="T11" fmla="*/ 43 h 174"/>
                                <a:gd name="T12" fmla="*/ 109 w 192"/>
                                <a:gd name="T13" fmla="*/ 44 h 174"/>
                                <a:gd name="T14" fmla="*/ 120 w 192"/>
                                <a:gd name="T15" fmla="*/ 48 h 174"/>
                                <a:gd name="T16" fmla="*/ 124 w 192"/>
                                <a:gd name="T17" fmla="*/ 51 h 174"/>
                                <a:gd name="T18" fmla="*/ 132 w 192"/>
                                <a:gd name="T19" fmla="*/ 59 h 174"/>
                                <a:gd name="T20" fmla="*/ 135 w 192"/>
                                <a:gd name="T21" fmla="*/ 63 h 174"/>
                                <a:gd name="T22" fmla="*/ 138 w 192"/>
                                <a:gd name="T23" fmla="*/ 74 h 174"/>
                                <a:gd name="T24" fmla="*/ 139 w 192"/>
                                <a:gd name="T25" fmla="*/ 80 h 174"/>
                                <a:gd name="T26" fmla="*/ 139 w 192"/>
                                <a:gd name="T27" fmla="*/ 8 h 174"/>
                                <a:gd name="T28" fmla="*/ 131 w 192"/>
                                <a:gd name="T29" fmla="*/ 4 h 174"/>
                                <a:gd name="T30" fmla="*/ 113 w 192"/>
                                <a:gd name="T31" fmla="*/ 1 h 174"/>
                                <a:gd name="T32" fmla="*/ 90 w 192"/>
                                <a:gd name="T33" fmla="*/ 0 h 174"/>
                                <a:gd name="T34" fmla="*/ 72 w 192"/>
                                <a:gd name="T35" fmla="*/ 2 h 174"/>
                                <a:gd name="T36" fmla="*/ 53 w 192"/>
                                <a:gd name="T37" fmla="*/ 7 h 174"/>
                                <a:gd name="T38" fmla="*/ 51 w 192"/>
                                <a:gd name="T39" fmla="*/ 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74">
                                  <a:moveTo>
                                    <a:pt x="51" y="8"/>
                                  </a:moveTo>
                                  <a:lnTo>
                                    <a:pt x="51" y="73"/>
                                  </a:lnTo>
                                  <a:lnTo>
                                    <a:pt x="55" y="63"/>
                                  </a:lnTo>
                                  <a:lnTo>
                                    <a:pt x="71" y="47"/>
                                  </a:lnTo>
                                  <a:lnTo>
                                    <a:pt x="82" y="43"/>
                                  </a:lnTo>
                                  <a:lnTo>
                                    <a:pt x="102" y="43"/>
                                  </a:lnTo>
                                  <a:lnTo>
                                    <a:pt x="109" y="44"/>
                                  </a:lnTo>
                                  <a:lnTo>
                                    <a:pt x="120" y="48"/>
                                  </a:lnTo>
                                  <a:lnTo>
                                    <a:pt x="124" y="51"/>
                                  </a:lnTo>
                                  <a:lnTo>
                                    <a:pt x="132" y="59"/>
                                  </a:lnTo>
                                  <a:lnTo>
                                    <a:pt x="135" y="63"/>
                                  </a:lnTo>
                                  <a:lnTo>
                                    <a:pt x="138" y="74"/>
                                  </a:lnTo>
                                  <a:lnTo>
                                    <a:pt x="139" y="80"/>
                                  </a:lnTo>
                                  <a:lnTo>
                                    <a:pt x="139" y="8"/>
                                  </a:lnTo>
                                  <a:lnTo>
                                    <a:pt x="131" y="4"/>
                                  </a:lnTo>
                                  <a:lnTo>
                                    <a:pt x="113" y="1"/>
                                  </a:lnTo>
                                  <a:lnTo>
                                    <a:pt x="90" y="0"/>
                                  </a:lnTo>
                                  <a:lnTo>
                                    <a:pt x="72" y="2"/>
                                  </a:lnTo>
                                  <a:lnTo>
                                    <a:pt x="53" y="7"/>
                                  </a:lnTo>
                                  <a:lnTo>
                                    <a:pt x="51" y="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1" name="Freeform 261"/>
                        <wps:cNvSpPr>
                          <a:spLocks/>
                        </wps:cNvSpPr>
                        <wps:spPr bwMode="auto">
                          <a:xfrm>
                            <a:off x="3948" y="27"/>
                            <a:ext cx="184" cy="169"/>
                          </a:xfrm>
                          <a:custGeom>
                            <a:avLst/>
                            <a:gdLst>
                              <a:gd name="T0" fmla="*/ 0 w 184"/>
                              <a:gd name="T1" fmla="*/ 0 h 169"/>
                              <a:gd name="T2" fmla="*/ 0 w 184"/>
                              <a:gd name="T3" fmla="*/ 168 h 169"/>
                              <a:gd name="T4" fmla="*/ 50 w 184"/>
                              <a:gd name="T5" fmla="*/ 168 h 169"/>
                              <a:gd name="T6" fmla="*/ 50 w 184"/>
                              <a:gd name="T7" fmla="*/ 74 h 169"/>
                              <a:gd name="T8" fmla="*/ 138 w 184"/>
                              <a:gd name="T9" fmla="*/ 168 h 169"/>
                              <a:gd name="T10" fmla="*/ 183 w 184"/>
                              <a:gd name="T11" fmla="*/ 168 h 169"/>
                              <a:gd name="T12" fmla="*/ 183 w 184"/>
                              <a:gd name="T13" fmla="*/ 0 h 169"/>
                              <a:gd name="T14" fmla="*/ 132 w 184"/>
                              <a:gd name="T15" fmla="*/ 0 h 169"/>
                              <a:gd name="T16" fmla="*/ 132 w 184"/>
                              <a:gd name="T17" fmla="*/ 93 h 169"/>
                              <a:gd name="T18" fmla="*/ 45 w 184"/>
                              <a:gd name="T19" fmla="*/ 0 h 169"/>
                              <a:gd name="T20" fmla="*/ 0 w 184"/>
                              <a:gd name="T2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 h="169">
                                <a:moveTo>
                                  <a:pt x="0" y="0"/>
                                </a:moveTo>
                                <a:lnTo>
                                  <a:pt x="0" y="168"/>
                                </a:lnTo>
                                <a:lnTo>
                                  <a:pt x="50" y="168"/>
                                </a:lnTo>
                                <a:lnTo>
                                  <a:pt x="50" y="74"/>
                                </a:lnTo>
                                <a:lnTo>
                                  <a:pt x="138" y="168"/>
                                </a:lnTo>
                                <a:lnTo>
                                  <a:pt x="183" y="168"/>
                                </a:lnTo>
                                <a:lnTo>
                                  <a:pt x="183" y="0"/>
                                </a:lnTo>
                                <a:lnTo>
                                  <a:pt x="132" y="0"/>
                                </a:lnTo>
                                <a:lnTo>
                                  <a:pt x="132" y="93"/>
                                </a:lnTo>
                                <a:lnTo>
                                  <a:pt x="45" y="0"/>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54" o:spid="_x0000_s1157" style="width:206.6pt;height:25.4pt;mso-position-horizontal-relative:char;mso-position-vertical-relative:line" coordsize="41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">
                <v:rect id="Rectangle 255" o:spid="_x0000_s1158" style="position:absolute;width:36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72444D" w:rsidRDefault="0072444D">
                        <w:pPr>
                          <w:autoSpaceDE/>
                          <w:autoSpaceDN/>
                          <w:adjustRightInd/>
                          <w:spacing w:line="500" w:lineRule="atLeast"/>
                          <w:rPr>
                            <w:sz w:val="24"/>
                            <w:szCs w:val="24"/>
                          </w:rPr>
                        </w:pPr>
                        <w:r>
                          <w:rPr>
                            <w:noProof/>
                            <w:sz w:val="24"/>
                            <w:szCs w:val="24"/>
                            <w:lang w:val="ru-RU" w:eastAsia="ru-RU"/>
                          </w:rPr>
                          <w:drawing>
                            <wp:inline distT="0" distB="0" distL="0" distR="0">
                              <wp:extent cx="2295525"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323850"/>
                                      </a:xfrm>
                                      <a:prstGeom prst="rect">
                                        <a:avLst/>
                                      </a:prstGeom>
                                      <a:noFill/>
                                      <a:ln>
                                        <a:noFill/>
                                      </a:ln>
                                    </pic:spPr>
                                  </pic:pic>
                                </a:graphicData>
                              </a:graphic>
                            </wp:inline>
                          </w:drawing>
                        </w:r>
                      </w:p>
                      <w:p w:rsidR="0072444D" w:rsidRDefault="0072444D">
                        <w:pPr>
                          <w:widowControl w:val="0"/>
                          <w:rPr>
                            <w:sz w:val="24"/>
                            <w:szCs w:val="24"/>
                          </w:rPr>
                        </w:pPr>
                      </w:p>
                    </w:txbxContent>
                  </v:textbox>
                </v:rect>
                <v:shape id="Freeform 257" o:spid="_x0000_s1159" style="position:absolute;left:3655;top:27;width:20;height:169;visibility:visible;mso-wrap-style:square;v-text-anchor:top" coordsize="2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J6sQA&#10;AADcAAAADwAAAGRycy9kb3ducmV2LnhtbESPT2sCMRTE7wW/Q3hCbzXbP7a6bpQiCAUvuu1lb4/N&#10;c3dp8rIkUddvbwTB4zAzv2GK1WCNOJEPnWMFr5MMBHHtdMeNgr/fzcsMRIjIGo1jUnChAKvl6KnA&#10;XLsz7+lUxkYkCIccFbQx9rmUoW7JYpi4njh5B+ctxiR9I7XHc4JbI9+y7FNa7DgttNjTuqX6vzxa&#10;Bc2uPGpjprz5WEc5UKi2822l1PN4+F6AiDTER/je/tEK3qdf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byerEAAAA3AAAAA8AAAAAAAAAAAAAAAAAmAIAAGRycy9k&#10;b3ducmV2LnhtbFBLBQYAAAAABAAEAPUAAACJAwAAAAA=&#10;" path="m,l,168e" filled="f" strokecolor="#6d6e71" strokeweight="2.65pt">
                  <v:path arrowok="t" o:connecttype="custom" o:connectlocs="0,0;0,168" o:connectangles="0,0"/>
                </v:shape>
                <v:group id="Group 258" o:spid="_x0000_s1160" style="position:absolute;left:3719;top:24;width:192;height:174" coordorigin="3719,24" coordsize="19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59" o:spid="_x0000_s1161" style="position:absolute;left:3719;top:24;width:192;height:174;visibility:visible;mso-wrap-style:square;v-text-anchor:top" coordsize="1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nYMQA&#10;AADcAAAADwAAAGRycy9kb3ducmV2LnhtbESPQWvCQBCF74X+h2UKvdWN1YpNXUWkBfFW46W3aXbM&#10;hmZnQ3aM6b93BcHj48373rzFavCN6qmLdWAD41EGirgMtubKwKH4epmDioJssQlMBv4pwmr5+LDA&#10;3IYzf1O/l0olCMccDTiRNtc6lo48xlFoiZN3DJ1HSbKrtO3wnOC+0a9ZNtMea04NDlvaOCr/9ief&#10;3ti5ov9da0E5zI+TUEx/PsdbY56fhvUHKKFB7se39NYamLy9w3VMI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Z2DEAAAA3AAAAA8AAAAAAAAAAAAAAAAAmAIAAGRycy9k&#10;b3ducmV2LnhtbFBLBQYAAAAABAAEAPUAAACJAwAAAAA=&#10;" path="m,90r3,20l10,129r9,12l33,154r23,13l75,171r23,2l117,171r19,-5l156,156r14,-13l182,125r7,-19l191,86r,-12l189,63,181,42r-6,-9l166,24,152,14,139,8r,87l137,102r-6,13l126,120r-13,8l105,129r-23,l71,125,55,109,51,99,51,8,33,18,19,31,7,50,1,68,,90xe" fillcolor="#6d6e71" stroked="f">
                    <v:path arrowok="t" o:connecttype="custom" o:connectlocs="0,90;3,110;10,129;19,141;33,154;56,167;75,171;98,173;117,171;136,166;156,156;170,143;182,125;189,106;191,86;191,74;189,63;181,42;175,33;166,24;152,14;139,8;139,95;137,102;131,115;126,120;113,128;105,129;82,129;71,125;55,109;51,99;51,8;33,18;19,31;7,50;1,68;0,90" o:connectangles="0,0,0,0,0,0,0,0,0,0,0,0,0,0,0,0,0,0,0,0,0,0,0,0,0,0,0,0,0,0,0,0,0,0,0,0,0,0"/>
                  </v:shape>
                  <v:shape id="Freeform 260" o:spid="_x0000_s1162" style="position:absolute;left:3719;top:24;width:192;height:174;visibility:visible;mso-wrap-style:square;v-text-anchor:top" coordsize="19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EQMMA&#10;AADcAAAADwAAAGRycy9kb3ducmV2LnhtbESPwWrDMAyG74O9g9Fgt9XpOkrJ6pYyNii9remlNy1W&#10;47BYDrGWZm9fHQY7il//p0/r7RQ7M9KQ28QO5rMCDHGdfMuNg1P18bQCkwXZY5eYHPxShu3m/m6N&#10;pU9X/qTxKI1RCOcSHQSRvrQ214Ei5lnqiTW7pCGi6Dg01g94VXjs7HNRLG3ElvVCwJ7eAtXfx5+o&#10;GodQjV87Kyin1WWRqpfz+3zv3OPDtHsFIzTJ//Jfe+8dLJaqr88oAez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EEQMMAAADcAAAADwAAAAAAAAAAAAAAAACYAgAAZHJzL2Rv&#10;d25yZXYueG1sUEsFBgAAAAAEAAQA9QAAAIgDAAAAAA==&#10;" path="m51,8r,65l55,63,71,47,82,43r20,l109,44r11,4l124,51r8,8l135,63r3,11l139,80r,-72l131,4,113,1,90,,72,2,53,7,51,8xe" fillcolor="#6d6e71" stroked="f">
                    <v:path arrowok="t" o:connecttype="custom" o:connectlocs="51,8;51,73;55,63;71,47;82,43;102,43;109,44;120,48;124,51;132,59;135,63;138,74;139,80;139,8;131,4;113,1;90,0;72,2;53,7;51,8" o:connectangles="0,0,0,0,0,0,0,0,0,0,0,0,0,0,0,0,0,0,0,0"/>
                  </v:shape>
                </v:group>
                <v:shape id="Freeform 261" o:spid="_x0000_s1163" style="position:absolute;left:3948;top:27;width:184;height:169;visibility:visible;mso-wrap-style:square;v-text-anchor:top" coordsize="1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9PMQA&#10;AADcAAAADwAAAGRycy9kb3ducmV2LnhtbESPQWvCQBSE74X+h+UVvNWNCrZGV5FCoRYK1Xrw+Mg+&#10;s9HseyG7Nem/7wqCx2FmvmEWq97X6kJtqIQNjIYZKOJCbMWlgf3P+/MrqBCRLdbCZOCPAqyWjw8L&#10;zK10vKXLLpYqQTjkaMDF2ORah8KRxzCUhjh5R2k9xiTbUtsWuwT3tR5n2VR7rDgtOGzozVFx3v16&#10;A+uX8WmGmXRfGzv5/pSt7A9OjBk89es5qEh9vIdv7Q9rYDIdwfVMO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6PTzEAAAA3AAAAA8AAAAAAAAAAAAAAAAAmAIAAGRycy9k&#10;b3ducmV2LnhtbFBLBQYAAAAABAAEAPUAAACJAwAAAAA=&#10;" path="m,l,168r50,l50,74r88,94l183,168,183,,132,r,93l45,,,xe" fillcolor="#6d6e71" stroked="f">
                  <v:path arrowok="t" o:connecttype="custom" o:connectlocs="0,0;0,168;50,168;50,74;138,168;183,168;183,0;132,0;132,93;45,0;0,0" o:connectangles="0,0,0,0,0,0,0,0,0,0,0"/>
                </v:shape>
                <w10:anchorlock/>
              </v:group>
            </w:pict>
          </mc:Fallback>
        </mc:AlternateContent>
      </w:r>
    </w:p>
    <w:sectPr w:rsidR="00D02DD9" w:rsidRPr="009C2EF2">
      <w:footerReference w:type="default" r:id="rId126"/>
      <w:pgSz w:w="8850" w:h="13270"/>
      <w:pgMar w:top="1240" w:right="1220" w:bottom="280" w:left="460" w:header="0" w:footer="0" w:gutter="0"/>
      <w:cols w:space="720" w:equalWidth="0">
        <w:col w:w="717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47E" w:rsidRDefault="00DD247E">
      <w:r>
        <w:separator/>
      </w:r>
    </w:p>
  </w:endnote>
  <w:endnote w:type="continuationSeparator" w:id="0">
    <w:p w:rsidR="00DD247E" w:rsidRDefault="00DD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342150"/>
      <w:docPartObj>
        <w:docPartGallery w:val="Page Numbers (Bottom of Page)"/>
        <w:docPartUnique/>
      </w:docPartObj>
    </w:sdtPr>
    <w:sdtContent>
      <w:p w:rsidR="00C12F86" w:rsidRDefault="00C12F86">
        <w:pPr>
          <w:pStyle w:val="a7"/>
          <w:jc w:val="center"/>
        </w:pPr>
        <w:r>
          <w:fldChar w:fldCharType="begin"/>
        </w:r>
        <w:r>
          <w:instrText>PAGE   \* MERGEFORMAT</w:instrText>
        </w:r>
        <w:r>
          <w:fldChar w:fldCharType="separate"/>
        </w:r>
        <w:r w:rsidR="00871513">
          <w:rPr>
            <w:noProof/>
          </w:rPr>
          <w:t>8</w:t>
        </w:r>
        <w:r>
          <w:fldChar w:fldCharType="end"/>
        </w:r>
      </w:p>
    </w:sdtContent>
  </w:sdt>
  <w:p w:rsidR="00C12F86" w:rsidRDefault="00C12F86">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0"/>
        <w:szCs w:val="24"/>
      </w:rPr>
    </w:pPr>
    <w:r>
      <w:rPr>
        <w:rFonts w:ascii="Times New Roman" w:hAnsi="Times New Roman"/>
        <w:noProof/>
        <w:sz w:val="24"/>
        <w:szCs w:val="24"/>
        <w:lang w:val="ru-RU" w:eastAsia="ru-RU"/>
      </w:rPr>
      <mc:AlternateContent>
        <mc:Choice Requires="wps">
          <w:drawing>
            <wp:anchor distT="0" distB="0" distL="114300" distR="114300" simplePos="0" relativeHeight="251657216" behindDoc="1" locked="0" layoutInCell="0" allowOverlap="1">
              <wp:simplePos x="0" y="0"/>
              <wp:positionH relativeFrom="page">
                <wp:posOffset>2713355</wp:posOffset>
              </wp:positionH>
              <wp:positionV relativeFrom="page">
                <wp:posOffset>8110220</wp:posOffset>
              </wp:positionV>
              <wp:extent cx="81915" cy="127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4D" w:rsidRDefault="0072444D">
                          <w:pPr>
                            <w:pStyle w:val="a3"/>
                            <w:kinsoku w:val="0"/>
                            <w:overflowPunct w:val="0"/>
                            <w:ind w:left="20"/>
                            <w:rPr>
                              <w:color w:val="000000"/>
                              <w:sz w:val="16"/>
                              <w:szCs w:val="24"/>
                            </w:rPr>
                          </w:pPr>
                          <w:r>
                            <w:rPr>
                              <w:color w:val="231F20"/>
                              <w:sz w:val="16"/>
                              <w:szCs w:val="24"/>
                              <w:lang w:val="az-Latn-AZ"/>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4" type="#_x0000_t202" style="position:absolute;margin-left:213.65pt;margin-top:638.6pt;width:6.45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" o:allowincell="f" filled="f" stroked="f">
              <v:textbox inset="0,0,0,0">
                <w:txbxContent>
                  <w:p w:rsidR="0072444D" w:rsidRDefault="0072444D">
                    <w:pPr>
                      <w:pStyle w:val="a3"/>
                      <w:kinsoku w:val="0"/>
                      <w:overflowPunct w:val="0"/>
                      <w:ind w:left="20"/>
                      <w:rPr>
                        <w:color w:val="000000"/>
                        <w:sz w:val="16"/>
                        <w:szCs w:val="24"/>
                      </w:rPr>
                    </w:pPr>
                    <w:r>
                      <w:rPr>
                        <w:color w:val="231F20"/>
                        <w:sz w:val="16"/>
                        <w:szCs w:val="24"/>
                        <w:lang w:val="az-Latn-AZ"/>
                      </w:rPr>
                      <w:t>6</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4D" w:rsidRDefault="0072444D">
    <w:pPr>
      <w:pStyle w:val="a3"/>
      <w:kinsoku w:val="0"/>
      <w:overflowPunct w:val="0"/>
      <w:spacing w:line="14" w:lineRule="auto"/>
      <w:ind w:left="0"/>
      <w:rPr>
        <w:rFonts w:ascii="Times New Roman" w:hAnsi="Times New Roman"/>
        <w:sz w:val="2"/>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47E" w:rsidRDefault="00DD247E">
      <w:r>
        <w:separator/>
      </w:r>
    </w:p>
  </w:footnote>
  <w:footnote w:type="continuationSeparator" w:id="0">
    <w:p w:rsidR="00DD247E" w:rsidRDefault="00DD2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D07" w:rsidRDefault="00C82D07" w:rsidP="0072444D">
    <w:pPr>
      <w:pStyle w:val="a5"/>
      <w:jc w:val="center"/>
    </w:pPr>
  </w:p>
  <w:p w:rsidR="00C82D07" w:rsidRDefault="00C82D07" w:rsidP="0072444D">
    <w:pPr>
      <w:pStyle w:val="a5"/>
      <w:jc w:val="center"/>
    </w:pPr>
  </w:p>
  <w:p w:rsidR="0072444D" w:rsidRDefault="0072444D" w:rsidP="0072444D">
    <w:pPr>
      <w:pStyle w:val="a5"/>
      <w:jc w:val="center"/>
    </w:pPr>
    <w:r>
      <w:t>Beynəlxalq qiymətləndirmə standartları</w:t>
    </w:r>
  </w:p>
  <w:p w:rsidR="0072444D" w:rsidRPr="0072444D" w:rsidRDefault="0072444D">
    <w:pPr>
      <w:pStyle w:val="a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bullet"/>
      <w:lvlText w:val="•"/>
      <w:lvlJc w:val="left"/>
      <w:pPr>
        <w:ind w:hanging="171"/>
      </w:pPr>
      <w:rPr>
        <w:rFonts w:ascii="Arial" w:hAnsi="Arial"/>
        <w:b w:val="0"/>
        <w:color w:val="231F20"/>
        <w:sz w:val="18"/>
      </w:rPr>
    </w:lvl>
    <w:lvl w:ilvl="1">
      <w:start w:val="1"/>
      <w:numFmt w:val="bullet"/>
      <w:lvlText w:val="•"/>
      <w:lvlJc w:val="left"/>
      <w:pPr>
        <w:ind w:hanging="171"/>
      </w:pPr>
    </w:lvl>
    <w:lvl w:ilvl="2">
      <w:start w:val="1"/>
      <w:numFmt w:val="bullet"/>
      <w:lvlText w:val="•"/>
      <w:lvlJc w:val="left"/>
      <w:pPr>
        <w:ind w:hanging="171"/>
      </w:pPr>
    </w:lvl>
    <w:lvl w:ilvl="3">
      <w:start w:val="1"/>
      <w:numFmt w:val="bullet"/>
      <w:lvlText w:val="•"/>
      <w:lvlJc w:val="left"/>
      <w:pPr>
        <w:ind w:hanging="171"/>
      </w:pPr>
    </w:lvl>
    <w:lvl w:ilvl="4">
      <w:start w:val="1"/>
      <w:numFmt w:val="bullet"/>
      <w:lvlText w:val="•"/>
      <w:lvlJc w:val="left"/>
      <w:pPr>
        <w:ind w:hanging="171"/>
      </w:pPr>
    </w:lvl>
    <w:lvl w:ilvl="5">
      <w:start w:val="1"/>
      <w:numFmt w:val="bullet"/>
      <w:lvlText w:val="•"/>
      <w:lvlJc w:val="left"/>
      <w:pPr>
        <w:ind w:hanging="171"/>
      </w:pPr>
    </w:lvl>
    <w:lvl w:ilvl="6">
      <w:start w:val="1"/>
      <w:numFmt w:val="bullet"/>
      <w:lvlText w:val="•"/>
      <w:lvlJc w:val="left"/>
      <w:pPr>
        <w:ind w:hanging="171"/>
      </w:pPr>
    </w:lvl>
    <w:lvl w:ilvl="7">
      <w:start w:val="1"/>
      <w:numFmt w:val="bullet"/>
      <w:lvlText w:val="•"/>
      <w:lvlJc w:val="left"/>
      <w:pPr>
        <w:ind w:hanging="171"/>
      </w:pPr>
    </w:lvl>
    <w:lvl w:ilvl="8">
      <w:start w:val="1"/>
      <w:numFmt w:val="bullet"/>
      <w:lvlText w:val="•"/>
      <w:lvlJc w:val="left"/>
      <w:pPr>
        <w:ind w:hanging="171"/>
      </w:pPr>
    </w:lvl>
  </w:abstractNum>
  <w:abstractNum w:abstractNumId="1">
    <w:nsid w:val="00000403"/>
    <w:multiLevelType w:val="multilevel"/>
    <w:tmpl w:val="00000886"/>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2">
    <w:nsid w:val="00000404"/>
    <w:multiLevelType w:val="multilevel"/>
    <w:tmpl w:val="00000887"/>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bullet"/>
      <w:lvlText w:val="•"/>
      <w:lvlJc w:val="left"/>
      <w:pPr>
        <w:ind w:hanging="284"/>
      </w:pPr>
      <w:rPr>
        <w:rFonts w:ascii="Arial" w:hAnsi="Arial"/>
        <w:b w:val="0"/>
        <w:color w:val="231F20"/>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
    <w:nsid w:val="00000405"/>
    <w:multiLevelType w:val="multilevel"/>
    <w:tmpl w:val="00000888"/>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4">
    <w:nsid w:val="00000406"/>
    <w:multiLevelType w:val="multilevel"/>
    <w:tmpl w:val="00000889"/>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5">
    <w:nsid w:val="00000407"/>
    <w:multiLevelType w:val="multilevel"/>
    <w:tmpl w:val="0000088A"/>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
    <w:nsid w:val="00000408"/>
    <w:multiLevelType w:val="multilevel"/>
    <w:tmpl w:val="0000088B"/>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7">
    <w:nsid w:val="00000409"/>
    <w:multiLevelType w:val="multilevel"/>
    <w:tmpl w:val="0000088C"/>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
    <w:nsid w:val="0000040A"/>
    <w:multiLevelType w:val="multilevel"/>
    <w:tmpl w:val="0000088D"/>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9">
    <w:nsid w:val="0000040B"/>
    <w:multiLevelType w:val="multilevel"/>
    <w:tmpl w:val="0000088E"/>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0">
    <w:nsid w:val="0000040C"/>
    <w:multiLevelType w:val="multilevel"/>
    <w:tmpl w:val="0000088F"/>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
    <w:nsid w:val="0000040D"/>
    <w:multiLevelType w:val="multilevel"/>
    <w:tmpl w:val="00000890"/>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2">
    <w:nsid w:val="0000040E"/>
    <w:multiLevelType w:val="multilevel"/>
    <w:tmpl w:val="00000891"/>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3">
    <w:nsid w:val="0000040F"/>
    <w:multiLevelType w:val="multilevel"/>
    <w:tmpl w:val="00000892"/>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4">
    <w:nsid w:val="00000410"/>
    <w:multiLevelType w:val="multilevel"/>
    <w:tmpl w:val="00000893"/>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5">
    <w:nsid w:val="00000411"/>
    <w:multiLevelType w:val="multilevel"/>
    <w:tmpl w:val="00000894"/>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6">
    <w:nsid w:val="00000412"/>
    <w:multiLevelType w:val="multilevel"/>
    <w:tmpl w:val="00000895"/>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7">
    <w:nsid w:val="00000413"/>
    <w:multiLevelType w:val="multilevel"/>
    <w:tmpl w:val="00000896"/>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8">
    <w:nsid w:val="00000414"/>
    <w:multiLevelType w:val="multilevel"/>
    <w:tmpl w:val="00000897"/>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9">
    <w:nsid w:val="00000415"/>
    <w:multiLevelType w:val="multilevel"/>
    <w:tmpl w:val="00000898"/>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0">
    <w:nsid w:val="00000416"/>
    <w:multiLevelType w:val="multilevel"/>
    <w:tmpl w:val="00000899"/>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1">
    <w:nsid w:val="00000417"/>
    <w:multiLevelType w:val="multilevel"/>
    <w:tmpl w:val="0000089A"/>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lowerLetter"/>
      <w:lvlText w:val="%5."/>
      <w:lvlJc w:val="left"/>
      <w:pPr>
        <w:ind w:hanging="201"/>
      </w:pPr>
      <w:rPr>
        <w:rFonts w:ascii="Arial" w:hAnsi="Arial"/>
        <w:b w:val="0"/>
        <w:color w:val="231F20"/>
        <w:sz w:val="18"/>
      </w:rPr>
    </w:lvl>
    <w:lvl w:ilvl="5">
      <w:start w:val="1"/>
      <w:numFmt w:val="bullet"/>
      <w:lvlText w:val="•"/>
      <w:lvlJc w:val="left"/>
      <w:pPr>
        <w:ind w:hanging="201"/>
      </w:pPr>
    </w:lvl>
    <w:lvl w:ilvl="6">
      <w:start w:val="1"/>
      <w:numFmt w:val="bullet"/>
      <w:lvlText w:val="•"/>
      <w:lvlJc w:val="left"/>
      <w:pPr>
        <w:ind w:hanging="201"/>
      </w:pPr>
    </w:lvl>
    <w:lvl w:ilvl="7">
      <w:start w:val="1"/>
      <w:numFmt w:val="bullet"/>
      <w:lvlText w:val="•"/>
      <w:lvlJc w:val="left"/>
      <w:pPr>
        <w:ind w:hanging="201"/>
      </w:pPr>
    </w:lvl>
    <w:lvl w:ilvl="8">
      <w:start w:val="1"/>
      <w:numFmt w:val="bullet"/>
      <w:lvlText w:val="•"/>
      <w:lvlJc w:val="left"/>
      <w:pPr>
        <w:ind w:hanging="201"/>
      </w:pPr>
    </w:lvl>
  </w:abstractNum>
  <w:abstractNum w:abstractNumId="22">
    <w:nsid w:val="00000418"/>
    <w:multiLevelType w:val="multilevel"/>
    <w:tmpl w:val="0000089B"/>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3">
    <w:nsid w:val="00000419"/>
    <w:multiLevelType w:val="multilevel"/>
    <w:tmpl w:val="0000089C"/>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4">
    <w:nsid w:val="0000041A"/>
    <w:multiLevelType w:val="multilevel"/>
    <w:tmpl w:val="0000089D"/>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5">
    <w:nsid w:val="0000041B"/>
    <w:multiLevelType w:val="multilevel"/>
    <w:tmpl w:val="0000089E"/>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26">
    <w:nsid w:val="0000041C"/>
    <w:multiLevelType w:val="multilevel"/>
    <w:tmpl w:val="0000089F"/>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27">
    <w:nsid w:val="0000041D"/>
    <w:multiLevelType w:val="multilevel"/>
    <w:tmpl w:val="000008A0"/>
    <w:lvl w:ilvl="0">
      <w:start w:val="8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28">
    <w:nsid w:val="0000041E"/>
    <w:multiLevelType w:val="multilevel"/>
    <w:tmpl w:val="000008A1"/>
    <w:lvl w:ilvl="0">
      <w:start w:val="9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29">
    <w:nsid w:val="0000041F"/>
    <w:multiLevelType w:val="multilevel"/>
    <w:tmpl w:val="000008A2"/>
    <w:lvl w:ilvl="0">
      <w:start w:val="10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30">
    <w:nsid w:val="00000420"/>
    <w:multiLevelType w:val="multilevel"/>
    <w:tmpl w:val="000008A3"/>
    <w:lvl w:ilvl="0">
      <w:start w:val="110"/>
      <w:numFmt w:val="decimal"/>
      <w:lvlText w:val="%1."/>
      <w:lvlJc w:val="left"/>
      <w:pPr>
        <w:ind w:hanging="567"/>
      </w:pPr>
      <w:rPr>
        <w:rFonts w:ascii="Arial" w:hAnsi="Arial"/>
        <w:b/>
        <w:color w:val="231F20"/>
        <w:spacing w:val="-12"/>
        <w:sz w:val="18"/>
      </w:rPr>
    </w:lvl>
    <w:lvl w:ilvl="1">
      <w:start w:val="1"/>
      <w:numFmt w:val="decimal"/>
      <w:lvlText w:val="%1.%2."/>
      <w:lvlJc w:val="left"/>
      <w:pPr>
        <w:ind w:hanging="567"/>
      </w:pPr>
      <w:rPr>
        <w:rFonts w:ascii="Arial" w:hAnsi="Arial"/>
        <w:b w:val="0"/>
        <w:color w:val="231F20"/>
        <w:spacing w:val="-1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31">
    <w:nsid w:val="00000421"/>
    <w:multiLevelType w:val="multilevel"/>
    <w:tmpl w:val="000008A4"/>
    <w:lvl w:ilvl="0">
      <w:start w:val="12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7"/>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10"/>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2">
    <w:nsid w:val="00000422"/>
    <w:multiLevelType w:val="multilevel"/>
    <w:tmpl w:val="000008A5"/>
    <w:lvl w:ilvl="0">
      <w:start w:val="13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8"/>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3">
    <w:nsid w:val="00000423"/>
    <w:multiLevelType w:val="multilevel"/>
    <w:tmpl w:val="000008A6"/>
    <w:lvl w:ilvl="0">
      <w:start w:val="14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7"/>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4">
    <w:nsid w:val="00000424"/>
    <w:multiLevelType w:val="multilevel"/>
    <w:tmpl w:val="000008A7"/>
    <w:lvl w:ilvl="0">
      <w:start w:val="15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6"/>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35">
    <w:nsid w:val="00000425"/>
    <w:multiLevelType w:val="multilevel"/>
    <w:tmpl w:val="000008A8"/>
    <w:lvl w:ilvl="0">
      <w:start w:val="16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36">
    <w:nsid w:val="00000426"/>
    <w:multiLevelType w:val="multilevel"/>
    <w:tmpl w:val="000008A9"/>
    <w:lvl w:ilvl="0">
      <w:start w:val="170"/>
      <w:numFmt w:val="decimal"/>
      <w:lvlText w:val="%1."/>
      <w:lvlJc w:val="left"/>
      <w:pPr>
        <w:ind w:hanging="567"/>
      </w:pPr>
      <w:rPr>
        <w:rFonts w:ascii="Arial" w:hAnsi="Arial"/>
        <w:b/>
        <w:color w:val="231F20"/>
        <w:spacing w:val="-9"/>
        <w:sz w:val="18"/>
      </w:rPr>
    </w:lvl>
    <w:lvl w:ilvl="1">
      <w:start w:val="1"/>
      <w:numFmt w:val="decimal"/>
      <w:lvlText w:val="%1.%2."/>
      <w:lvlJc w:val="left"/>
      <w:pPr>
        <w:ind w:hanging="567"/>
      </w:pPr>
      <w:rPr>
        <w:rFonts w:ascii="Arial" w:hAnsi="Arial"/>
        <w:b w:val="0"/>
        <w:color w:val="231F20"/>
        <w:spacing w:val="-10"/>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7">
    <w:nsid w:val="00000427"/>
    <w:multiLevelType w:val="multilevel"/>
    <w:tmpl w:val="000008AA"/>
    <w:lvl w:ilvl="0">
      <w:start w:val="18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6"/>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38">
    <w:nsid w:val="00000428"/>
    <w:multiLevelType w:val="multilevel"/>
    <w:tmpl w:val="000008AB"/>
    <w:lvl w:ilvl="0">
      <w:start w:val="19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6"/>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39">
    <w:nsid w:val="00000429"/>
    <w:multiLevelType w:val="multilevel"/>
    <w:tmpl w:val="000008AC"/>
    <w:lvl w:ilvl="0">
      <w:start w:val="20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0">
    <w:nsid w:val="0000042A"/>
    <w:multiLevelType w:val="multilevel"/>
    <w:tmpl w:val="000008AD"/>
    <w:lvl w:ilvl="0">
      <w:start w:val="21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41">
    <w:nsid w:val="0000042B"/>
    <w:multiLevelType w:val="multilevel"/>
    <w:tmpl w:val="000008AE"/>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2">
    <w:nsid w:val="0000042C"/>
    <w:multiLevelType w:val="multilevel"/>
    <w:tmpl w:val="000008AF"/>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3">
    <w:nsid w:val="0000042D"/>
    <w:multiLevelType w:val="multilevel"/>
    <w:tmpl w:val="000008B0"/>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4">
    <w:nsid w:val="0000042E"/>
    <w:multiLevelType w:val="multilevel"/>
    <w:tmpl w:val="000008B1"/>
    <w:lvl w:ilvl="0">
      <w:start w:val="1"/>
      <w:numFmt w:val="lowerLetter"/>
      <w:lvlText w:val="(%1)"/>
      <w:lvlJc w:val="left"/>
      <w:pPr>
        <w:ind w:hanging="284"/>
      </w:pPr>
      <w:rPr>
        <w:rFonts w:ascii="Arial" w:hAnsi="Arial"/>
        <w:b w:val="0"/>
        <w:color w:val="231F20"/>
        <w:spacing w:val="-7"/>
        <w:sz w:val="18"/>
      </w:rPr>
    </w:lvl>
    <w:lvl w:ilvl="1">
      <w:start w:val="1"/>
      <w:numFmt w:val="bullet"/>
      <w:lvlText w:val="•"/>
      <w:lvlJc w:val="left"/>
      <w:pPr>
        <w:ind w:hanging="284"/>
      </w:pPr>
    </w:lvl>
    <w:lvl w:ilvl="2">
      <w:start w:val="1"/>
      <w:numFmt w:val="bullet"/>
      <w:lvlText w:val="•"/>
      <w:lvlJc w:val="left"/>
      <w:pPr>
        <w:ind w:hanging="284"/>
      </w:p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5">
    <w:nsid w:val="0000042F"/>
    <w:multiLevelType w:val="multilevel"/>
    <w:tmpl w:val="000008B2"/>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6">
    <w:nsid w:val="00000430"/>
    <w:multiLevelType w:val="multilevel"/>
    <w:tmpl w:val="000008B3"/>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7">
    <w:nsid w:val="00000431"/>
    <w:multiLevelType w:val="multilevel"/>
    <w:tmpl w:val="000008B4"/>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8">
    <w:nsid w:val="00000432"/>
    <w:multiLevelType w:val="multilevel"/>
    <w:tmpl w:val="000008B5"/>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49">
    <w:nsid w:val="00000433"/>
    <w:multiLevelType w:val="multilevel"/>
    <w:tmpl w:val="000008B6"/>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0">
    <w:nsid w:val="00000434"/>
    <w:multiLevelType w:val="multilevel"/>
    <w:tmpl w:val="000008B7"/>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51">
    <w:nsid w:val="00000435"/>
    <w:multiLevelType w:val="multilevel"/>
    <w:tmpl w:val="000008B8"/>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2">
    <w:nsid w:val="00000436"/>
    <w:multiLevelType w:val="multilevel"/>
    <w:tmpl w:val="000008B9"/>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53">
    <w:nsid w:val="00000437"/>
    <w:multiLevelType w:val="multilevel"/>
    <w:tmpl w:val="000008BA"/>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54">
    <w:nsid w:val="00000438"/>
    <w:multiLevelType w:val="multilevel"/>
    <w:tmpl w:val="000008BB"/>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5">
    <w:nsid w:val="00000439"/>
    <w:multiLevelType w:val="multilevel"/>
    <w:tmpl w:val="000008BC"/>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6">
    <w:nsid w:val="0000043A"/>
    <w:multiLevelType w:val="multilevel"/>
    <w:tmpl w:val="000008BD"/>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57">
    <w:nsid w:val="0000043B"/>
    <w:multiLevelType w:val="multilevel"/>
    <w:tmpl w:val="000008BE"/>
    <w:lvl w:ilvl="0">
      <w:start w:val="1"/>
      <w:numFmt w:val="lowerLetter"/>
      <w:lvlText w:val="(%1)"/>
      <w:lvlJc w:val="left"/>
      <w:pPr>
        <w:ind w:hanging="284"/>
      </w:pPr>
      <w:rPr>
        <w:rFonts w:ascii="Arial" w:hAnsi="Arial"/>
        <w:b w:val="0"/>
        <w:color w:val="231F20"/>
        <w:spacing w:val="-7"/>
        <w:sz w:val="18"/>
      </w:rPr>
    </w:lvl>
    <w:lvl w:ilvl="1">
      <w:start w:val="1"/>
      <w:numFmt w:val="bullet"/>
      <w:lvlText w:val="•"/>
      <w:lvlJc w:val="left"/>
      <w:pPr>
        <w:ind w:hanging="284"/>
      </w:pPr>
    </w:lvl>
    <w:lvl w:ilvl="2">
      <w:start w:val="1"/>
      <w:numFmt w:val="bullet"/>
      <w:lvlText w:val="•"/>
      <w:lvlJc w:val="left"/>
      <w:pPr>
        <w:ind w:hanging="284"/>
      </w:p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8">
    <w:nsid w:val="0000043C"/>
    <w:multiLevelType w:val="multilevel"/>
    <w:tmpl w:val="000008BF"/>
    <w:lvl w:ilvl="0">
      <w:start w:val="8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59">
    <w:nsid w:val="0000043D"/>
    <w:multiLevelType w:val="multilevel"/>
    <w:tmpl w:val="000008C0"/>
    <w:lvl w:ilvl="0">
      <w:start w:val="9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60">
    <w:nsid w:val="0000043E"/>
    <w:multiLevelType w:val="multilevel"/>
    <w:tmpl w:val="000008C1"/>
    <w:lvl w:ilvl="0">
      <w:start w:val="10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1">
    <w:nsid w:val="0000043F"/>
    <w:multiLevelType w:val="multilevel"/>
    <w:tmpl w:val="000008C2"/>
    <w:lvl w:ilvl="0">
      <w:start w:val="110"/>
      <w:numFmt w:val="decimal"/>
      <w:lvlText w:val="%1."/>
      <w:lvlJc w:val="left"/>
      <w:pPr>
        <w:ind w:hanging="567"/>
      </w:pPr>
      <w:rPr>
        <w:rFonts w:ascii="Arial" w:hAnsi="Arial"/>
        <w:b/>
        <w:color w:val="231F20"/>
        <w:spacing w:val="-12"/>
        <w:sz w:val="18"/>
      </w:rPr>
    </w:lvl>
    <w:lvl w:ilvl="1">
      <w:start w:val="1"/>
      <w:numFmt w:val="decimal"/>
      <w:lvlText w:val="%1.%2."/>
      <w:lvlJc w:val="left"/>
      <w:pPr>
        <w:ind w:hanging="567"/>
      </w:pPr>
      <w:rPr>
        <w:rFonts w:ascii="Arial" w:hAnsi="Arial"/>
        <w:b w:val="0"/>
        <w:color w:val="231F20"/>
        <w:spacing w:val="-1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62">
    <w:nsid w:val="00000440"/>
    <w:multiLevelType w:val="multilevel"/>
    <w:tmpl w:val="000008C3"/>
    <w:lvl w:ilvl="0">
      <w:start w:val="12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7"/>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3">
    <w:nsid w:val="00000441"/>
    <w:multiLevelType w:val="multilevel"/>
    <w:tmpl w:val="000008C4"/>
    <w:lvl w:ilvl="0">
      <w:start w:val="13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8"/>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4">
    <w:nsid w:val="00000442"/>
    <w:multiLevelType w:val="multilevel"/>
    <w:tmpl w:val="000008C5"/>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5">
    <w:nsid w:val="00000443"/>
    <w:multiLevelType w:val="multilevel"/>
    <w:tmpl w:val="000008C6"/>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66">
    <w:nsid w:val="00000444"/>
    <w:multiLevelType w:val="multilevel"/>
    <w:tmpl w:val="000008C7"/>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7">
    <w:nsid w:val="00000445"/>
    <w:multiLevelType w:val="multilevel"/>
    <w:tmpl w:val="000008C8"/>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68">
    <w:nsid w:val="00000446"/>
    <w:multiLevelType w:val="multilevel"/>
    <w:tmpl w:val="000008C9"/>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69">
    <w:nsid w:val="00000447"/>
    <w:multiLevelType w:val="multilevel"/>
    <w:tmpl w:val="000008CA"/>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0">
    <w:nsid w:val="00000448"/>
    <w:multiLevelType w:val="multilevel"/>
    <w:tmpl w:val="000008CB"/>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1">
    <w:nsid w:val="00000449"/>
    <w:multiLevelType w:val="multilevel"/>
    <w:tmpl w:val="000008CC"/>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2">
    <w:nsid w:val="0000044A"/>
    <w:multiLevelType w:val="multilevel"/>
    <w:tmpl w:val="000008CD"/>
    <w:lvl w:ilvl="0">
      <w:start w:val="9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3">
    <w:nsid w:val="0000044B"/>
    <w:multiLevelType w:val="multilevel"/>
    <w:tmpl w:val="000008CE"/>
    <w:lvl w:ilvl="0">
      <w:start w:val="10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4">
    <w:nsid w:val="0000044C"/>
    <w:multiLevelType w:val="multilevel"/>
    <w:tmpl w:val="000008CF"/>
    <w:lvl w:ilvl="0">
      <w:start w:val="110"/>
      <w:numFmt w:val="decimal"/>
      <w:lvlText w:val="%1."/>
      <w:lvlJc w:val="left"/>
      <w:pPr>
        <w:ind w:hanging="567"/>
      </w:pPr>
      <w:rPr>
        <w:rFonts w:ascii="Arial" w:hAnsi="Arial"/>
        <w:b/>
        <w:color w:val="231F20"/>
        <w:spacing w:val="-12"/>
        <w:sz w:val="18"/>
      </w:rPr>
    </w:lvl>
    <w:lvl w:ilvl="1">
      <w:start w:val="1"/>
      <w:numFmt w:val="decimal"/>
      <w:lvlText w:val="%1.%2."/>
      <w:lvlJc w:val="left"/>
      <w:pPr>
        <w:ind w:hanging="567"/>
      </w:pPr>
      <w:rPr>
        <w:rFonts w:ascii="Arial" w:hAnsi="Arial"/>
        <w:b w:val="0"/>
        <w:color w:val="231F20"/>
        <w:spacing w:val="-1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5">
    <w:nsid w:val="0000044D"/>
    <w:multiLevelType w:val="multilevel"/>
    <w:tmpl w:val="000008D0"/>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76">
    <w:nsid w:val="0000044E"/>
    <w:multiLevelType w:val="multilevel"/>
    <w:tmpl w:val="000008D1"/>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decimal"/>
      <w:lvlText w:val="%4."/>
      <w:lvlJc w:val="left"/>
      <w:pPr>
        <w:ind w:hanging="284"/>
      </w:pPr>
      <w:rPr>
        <w:rFonts w:ascii="Arial" w:hAnsi="Arial"/>
        <w:b w:val="0"/>
        <w:color w:val="231F20"/>
        <w:spacing w:val="-7"/>
        <w:sz w:val="18"/>
      </w:r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77">
    <w:nsid w:val="0000044F"/>
    <w:multiLevelType w:val="multilevel"/>
    <w:tmpl w:val="000008D2"/>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78">
    <w:nsid w:val="00000450"/>
    <w:multiLevelType w:val="multilevel"/>
    <w:tmpl w:val="000008D3"/>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79">
    <w:nsid w:val="00000451"/>
    <w:multiLevelType w:val="multilevel"/>
    <w:tmpl w:val="000008D4"/>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0">
    <w:nsid w:val="00000452"/>
    <w:multiLevelType w:val="multilevel"/>
    <w:tmpl w:val="000008D5"/>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1">
    <w:nsid w:val="00000453"/>
    <w:multiLevelType w:val="multilevel"/>
    <w:tmpl w:val="000008D6"/>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82">
    <w:nsid w:val="00000454"/>
    <w:multiLevelType w:val="multilevel"/>
    <w:tmpl w:val="000008D7"/>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3">
    <w:nsid w:val="00000455"/>
    <w:multiLevelType w:val="multilevel"/>
    <w:tmpl w:val="000008D8"/>
    <w:lvl w:ilvl="0">
      <w:start w:val="9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4">
    <w:nsid w:val="00000456"/>
    <w:multiLevelType w:val="multilevel"/>
    <w:tmpl w:val="000008D9"/>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5">
    <w:nsid w:val="00000457"/>
    <w:multiLevelType w:val="multilevel"/>
    <w:tmpl w:val="000008DA"/>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86">
    <w:nsid w:val="00000458"/>
    <w:multiLevelType w:val="multilevel"/>
    <w:tmpl w:val="000008DB"/>
    <w:lvl w:ilvl="0">
      <w:start w:val="1"/>
      <w:numFmt w:val="lowerLetter"/>
      <w:lvlText w:val="(%1)"/>
      <w:lvlJc w:val="left"/>
      <w:pPr>
        <w:ind w:hanging="284"/>
      </w:pPr>
      <w:rPr>
        <w:rFonts w:ascii="Arial" w:hAnsi="Arial"/>
        <w:b w:val="0"/>
        <w:color w:val="231F20"/>
        <w:spacing w:val="-7"/>
        <w:sz w:val="18"/>
      </w:rPr>
    </w:lvl>
    <w:lvl w:ilvl="1">
      <w:start w:val="1"/>
      <w:numFmt w:val="bullet"/>
      <w:lvlText w:val="•"/>
      <w:lvlJc w:val="left"/>
      <w:pPr>
        <w:ind w:hanging="284"/>
      </w:pPr>
    </w:lvl>
    <w:lvl w:ilvl="2">
      <w:start w:val="1"/>
      <w:numFmt w:val="bullet"/>
      <w:lvlText w:val="•"/>
      <w:lvlJc w:val="left"/>
      <w:pPr>
        <w:ind w:hanging="284"/>
      </w:p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87">
    <w:nsid w:val="00000459"/>
    <w:multiLevelType w:val="multilevel"/>
    <w:tmpl w:val="000008DC"/>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8">
    <w:nsid w:val="0000045A"/>
    <w:multiLevelType w:val="multilevel"/>
    <w:tmpl w:val="000008DD"/>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89">
    <w:nsid w:val="0000045B"/>
    <w:multiLevelType w:val="multilevel"/>
    <w:tmpl w:val="000008DE"/>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0">
    <w:nsid w:val="0000045C"/>
    <w:multiLevelType w:val="multilevel"/>
    <w:tmpl w:val="000008DF"/>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1">
    <w:nsid w:val="0000045D"/>
    <w:multiLevelType w:val="multilevel"/>
    <w:tmpl w:val="000008E0"/>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92">
    <w:nsid w:val="0000045E"/>
    <w:multiLevelType w:val="multilevel"/>
    <w:tmpl w:val="000008E1"/>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3">
    <w:nsid w:val="0000045F"/>
    <w:multiLevelType w:val="multilevel"/>
    <w:tmpl w:val="000008E2"/>
    <w:lvl w:ilvl="0">
      <w:start w:val="9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4">
    <w:nsid w:val="00000460"/>
    <w:multiLevelType w:val="multilevel"/>
    <w:tmpl w:val="000008E3"/>
    <w:lvl w:ilvl="0">
      <w:start w:val="100"/>
      <w:numFmt w:val="decimal"/>
      <w:lvlText w:val="%1."/>
      <w:lvlJc w:val="left"/>
      <w:pPr>
        <w:ind w:hanging="568"/>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5">
    <w:nsid w:val="00000461"/>
    <w:multiLevelType w:val="multilevel"/>
    <w:tmpl w:val="000008E4"/>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96">
    <w:nsid w:val="00000462"/>
    <w:multiLevelType w:val="multilevel"/>
    <w:tmpl w:val="000008E5"/>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7">
    <w:nsid w:val="00000463"/>
    <w:multiLevelType w:val="multilevel"/>
    <w:tmpl w:val="000008E6"/>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98">
    <w:nsid w:val="00000464"/>
    <w:multiLevelType w:val="multilevel"/>
    <w:tmpl w:val="000008E7"/>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99">
    <w:nsid w:val="00000465"/>
    <w:multiLevelType w:val="multilevel"/>
    <w:tmpl w:val="000008E8"/>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0">
    <w:nsid w:val="00000466"/>
    <w:multiLevelType w:val="multilevel"/>
    <w:tmpl w:val="000008E9"/>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1">
    <w:nsid w:val="00000467"/>
    <w:multiLevelType w:val="multilevel"/>
    <w:tmpl w:val="000008EA"/>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2">
    <w:nsid w:val="00000468"/>
    <w:multiLevelType w:val="multilevel"/>
    <w:tmpl w:val="000008EB"/>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03">
    <w:nsid w:val="00000469"/>
    <w:multiLevelType w:val="multilevel"/>
    <w:tmpl w:val="000008EC"/>
    <w:lvl w:ilvl="0">
      <w:start w:val="9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04">
    <w:nsid w:val="0000046A"/>
    <w:multiLevelType w:val="multilevel"/>
    <w:tmpl w:val="000008ED"/>
    <w:lvl w:ilvl="0">
      <w:start w:val="100"/>
      <w:numFmt w:val="decimal"/>
      <w:lvlText w:val="%1."/>
      <w:lvlJc w:val="left"/>
      <w:pPr>
        <w:ind w:hanging="568"/>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05">
    <w:nsid w:val="0000046B"/>
    <w:multiLevelType w:val="multilevel"/>
    <w:tmpl w:val="000008EE"/>
    <w:lvl w:ilvl="0">
      <w:start w:val="110"/>
      <w:numFmt w:val="decimal"/>
      <w:lvlText w:val="%1."/>
      <w:lvlJc w:val="left"/>
      <w:pPr>
        <w:ind w:hanging="567"/>
      </w:pPr>
      <w:rPr>
        <w:rFonts w:ascii="Arial" w:hAnsi="Arial"/>
        <w:b/>
        <w:color w:val="231F20"/>
        <w:spacing w:val="-12"/>
        <w:sz w:val="18"/>
      </w:rPr>
    </w:lvl>
    <w:lvl w:ilvl="1">
      <w:start w:val="1"/>
      <w:numFmt w:val="decimal"/>
      <w:lvlText w:val="%1.%2."/>
      <w:lvlJc w:val="left"/>
      <w:pPr>
        <w:ind w:hanging="567"/>
      </w:pPr>
      <w:rPr>
        <w:rFonts w:ascii="Arial" w:hAnsi="Arial"/>
        <w:b w:val="0"/>
        <w:color w:val="231F20"/>
        <w:spacing w:val="-1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6">
    <w:nsid w:val="0000046C"/>
    <w:multiLevelType w:val="multilevel"/>
    <w:tmpl w:val="000008EF"/>
    <w:lvl w:ilvl="0">
      <w:start w:val="12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7"/>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7">
    <w:nsid w:val="0000046D"/>
    <w:multiLevelType w:val="multilevel"/>
    <w:tmpl w:val="000008F0"/>
    <w:lvl w:ilvl="0">
      <w:start w:val="1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08">
    <w:nsid w:val="0000046E"/>
    <w:multiLevelType w:val="multilevel"/>
    <w:tmpl w:val="000008F1"/>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09">
    <w:nsid w:val="0000046F"/>
    <w:multiLevelType w:val="multilevel"/>
    <w:tmpl w:val="000008F2"/>
    <w:lvl w:ilvl="0">
      <w:start w:val="1"/>
      <w:numFmt w:val="lowerLetter"/>
      <w:lvlText w:val="(%1)"/>
      <w:lvlJc w:val="left"/>
      <w:pPr>
        <w:ind w:hanging="284"/>
      </w:pPr>
      <w:rPr>
        <w:rFonts w:ascii="Arial" w:hAnsi="Arial"/>
        <w:b w:val="0"/>
        <w:color w:val="231F20"/>
        <w:spacing w:val="-7"/>
        <w:sz w:val="18"/>
      </w:rPr>
    </w:lvl>
    <w:lvl w:ilvl="1">
      <w:start w:val="1"/>
      <w:numFmt w:val="bullet"/>
      <w:lvlText w:val="•"/>
      <w:lvlJc w:val="left"/>
      <w:pPr>
        <w:ind w:hanging="284"/>
      </w:pPr>
    </w:lvl>
    <w:lvl w:ilvl="2">
      <w:start w:val="1"/>
      <w:numFmt w:val="bullet"/>
      <w:lvlText w:val="•"/>
      <w:lvlJc w:val="left"/>
      <w:pPr>
        <w:ind w:hanging="284"/>
      </w:p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0">
    <w:nsid w:val="00000470"/>
    <w:multiLevelType w:val="multilevel"/>
    <w:tmpl w:val="000008F3"/>
    <w:lvl w:ilvl="0">
      <w:start w:val="3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11">
    <w:nsid w:val="00000471"/>
    <w:multiLevelType w:val="multilevel"/>
    <w:tmpl w:val="000008F4"/>
    <w:lvl w:ilvl="0">
      <w:start w:val="4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12">
    <w:nsid w:val="00000472"/>
    <w:multiLevelType w:val="multilevel"/>
    <w:tmpl w:val="000008F5"/>
    <w:lvl w:ilvl="0">
      <w:start w:val="50"/>
      <w:numFmt w:val="decimal"/>
      <w:lvlText w:val="%1."/>
      <w:lvlJc w:val="left"/>
      <w:pPr>
        <w:ind w:hanging="567"/>
      </w:pPr>
      <w:rPr>
        <w:rFonts w:ascii="Arial" w:hAnsi="Arial"/>
        <w:b/>
        <w:color w:val="231F20"/>
        <w:spacing w:val="4"/>
        <w:sz w:val="18"/>
      </w:rPr>
    </w:lvl>
    <w:lvl w:ilvl="1">
      <w:start w:val="1"/>
      <w:numFmt w:val="decimal"/>
      <w:lvlText w:val="%1.%2."/>
      <w:lvlJc w:val="left"/>
      <w:pPr>
        <w:ind w:hanging="567"/>
      </w:pPr>
      <w:rPr>
        <w:rFonts w:ascii="Arial" w:hAnsi="Arial"/>
        <w:b w:val="0"/>
        <w:color w:val="231F20"/>
        <w:spacing w:val="3"/>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13">
    <w:nsid w:val="00000473"/>
    <w:multiLevelType w:val="multilevel"/>
    <w:tmpl w:val="000008F6"/>
    <w:lvl w:ilvl="0">
      <w:start w:val="6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4">
    <w:nsid w:val="00000474"/>
    <w:multiLevelType w:val="multilevel"/>
    <w:tmpl w:val="000008F7"/>
    <w:lvl w:ilvl="0">
      <w:start w:val="7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2"/>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15">
    <w:nsid w:val="00000475"/>
    <w:multiLevelType w:val="multilevel"/>
    <w:tmpl w:val="000008F8"/>
    <w:lvl w:ilvl="0">
      <w:start w:val="8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4"/>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6">
    <w:nsid w:val="00000476"/>
    <w:multiLevelType w:val="multilevel"/>
    <w:tmpl w:val="000008F9"/>
    <w:lvl w:ilvl="0">
      <w:start w:val="90"/>
      <w:numFmt w:val="decimal"/>
      <w:lvlText w:val="%1."/>
      <w:lvlJc w:val="left"/>
      <w:pPr>
        <w:ind w:hanging="567"/>
      </w:pPr>
      <w:rPr>
        <w:rFonts w:ascii="Arial" w:hAnsi="Arial"/>
        <w:b/>
        <w:color w:val="231F20"/>
        <w:spacing w:val="3"/>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7">
    <w:nsid w:val="00000477"/>
    <w:multiLevelType w:val="multilevel"/>
    <w:tmpl w:val="000008FA"/>
    <w:lvl w:ilvl="0">
      <w:start w:val="100"/>
      <w:numFmt w:val="decimal"/>
      <w:lvlText w:val="%1."/>
      <w:lvlJc w:val="left"/>
      <w:pPr>
        <w:ind w:hanging="567"/>
      </w:pPr>
      <w:rPr>
        <w:rFonts w:ascii="Arial" w:hAnsi="Arial"/>
        <w:b/>
        <w:color w:val="231F20"/>
        <w:spacing w:val="-5"/>
        <w:sz w:val="18"/>
      </w:rPr>
    </w:lvl>
    <w:lvl w:ilvl="1">
      <w:start w:val="1"/>
      <w:numFmt w:val="decimal"/>
      <w:lvlText w:val="%1.%2."/>
      <w:lvlJc w:val="left"/>
      <w:pPr>
        <w:ind w:hanging="567"/>
      </w:pPr>
      <w:rPr>
        <w:rFonts w:ascii="Arial" w:hAnsi="Arial"/>
        <w:b w:val="0"/>
        <w:color w:val="231F20"/>
        <w:spacing w:val="-5"/>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18">
    <w:nsid w:val="00000478"/>
    <w:multiLevelType w:val="multilevel"/>
    <w:tmpl w:val="000008FB"/>
    <w:lvl w:ilvl="0">
      <w:start w:val="110"/>
      <w:numFmt w:val="decimal"/>
      <w:lvlText w:val="%1."/>
      <w:lvlJc w:val="left"/>
      <w:pPr>
        <w:ind w:hanging="567"/>
      </w:pPr>
      <w:rPr>
        <w:rFonts w:ascii="Arial" w:hAnsi="Arial"/>
        <w:b/>
        <w:color w:val="231F20"/>
        <w:spacing w:val="-12"/>
        <w:sz w:val="18"/>
      </w:rPr>
    </w:lvl>
    <w:lvl w:ilvl="1">
      <w:start w:val="1"/>
      <w:numFmt w:val="decimal"/>
      <w:lvlText w:val="%1.%2."/>
      <w:lvlJc w:val="left"/>
      <w:pPr>
        <w:ind w:hanging="567"/>
      </w:pPr>
      <w:rPr>
        <w:rFonts w:ascii="Arial" w:hAnsi="Arial"/>
        <w:b w:val="0"/>
        <w:color w:val="231F20"/>
        <w:spacing w:val="-15"/>
        <w:sz w:val="18"/>
      </w:rPr>
    </w:lvl>
    <w:lvl w:ilvl="2">
      <w:start w:val="1"/>
      <w:numFmt w:val="bullet"/>
      <w:lvlText w:val="•"/>
      <w:lvlJc w:val="left"/>
      <w:pPr>
        <w:ind w:hanging="567"/>
      </w:pPr>
    </w:lvl>
    <w:lvl w:ilvl="3">
      <w:start w:val="1"/>
      <w:numFmt w:val="bullet"/>
      <w:lvlText w:val="•"/>
      <w:lvlJc w:val="left"/>
      <w:pPr>
        <w:ind w:hanging="567"/>
      </w:pPr>
    </w:lvl>
    <w:lvl w:ilvl="4">
      <w:start w:val="1"/>
      <w:numFmt w:val="bullet"/>
      <w:lvlText w:val="•"/>
      <w:lvlJc w:val="left"/>
      <w:pPr>
        <w:ind w:hanging="567"/>
      </w:pPr>
    </w:lvl>
    <w:lvl w:ilvl="5">
      <w:start w:val="1"/>
      <w:numFmt w:val="bullet"/>
      <w:lvlText w:val="•"/>
      <w:lvlJc w:val="left"/>
      <w:pPr>
        <w:ind w:hanging="567"/>
      </w:pPr>
    </w:lvl>
    <w:lvl w:ilvl="6">
      <w:start w:val="1"/>
      <w:numFmt w:val="bullet"/>
      <w:lvlText w:val="•"/>
      <w:lvlJc w:val="left"/>
      <w:pPr>
        <w:ind w:hanging="567"/>
      </w:pPr>
    </w:lvl>
    <w:lvl w:ilvl="7">
      <w:start w:val="1"/>
      <w:numFmt w:val="bullet"/>
      <w:lvlText w:val="•"/>
      <w:lvlJc w:val="left"/>
      <w:pPr>
        <w:ind w:hanging="567"/>
      </w:pPr>
    </w:lvl>
    <w:lvl w:ilvl="8">
      <w:start w:val="1"/>
      <w:numFmt w:val="bullet"/>
      <w:lvlText w:val="•"/>
      <w:lvlJc w:val="left"/>
      <w:pPr>
        <w:ind w:hanging="567"/>
      </w:pPr>
    </w:lvl>
  </w:abstractNum>
  <w:abstractNum w:abstractNumId="119">
    <w:nsid w:val="00000479"/>
    <w:multiLevelType w:val="multilevel"/>
    <w:tmpl w:val="000008FC"/>
    <w:lvl w:ilvl="0">
      <w:start w:val="120"/>
      <w:numFmt w:val="decimal"/>
      <w:lvlText w:val="%1."/>
      <w:lvlJc w:val="left"/>
      <w:pPr>
        <w:ind w:hanging="567"/>
      </w:pPr>
      <w:rPr>
        <w:rFonts w:ascii="Arial" w:hAnsi="Arial"/>
        <w:b/>
        <w:color w:val="231F20"/>
        <w:spacing w:val="-6"/>
        <w:sz w:val="18"/>
      </w:rPr>
    </w:lvl>
    <w:lvl w:ilvl="1">
      <w:start w:val="1"/>
      <w:numFmt w:val="decimal"/>
      <w:lvlText w:val="%1.%2."/>
      <w:lvlJc w:val="left"/>
      <w:pPr>
        <w:ind w:hanging="567"/>
      </w:pPr>
      <w:rPr>
        <w:rFonts w:ascii="Arial" w:hAnsi="Arial"/>
        <w:b w:val="0"/>
        <w:color w:val="231F20"/>
        <w:spacing w:val="-7"/>
        <w:sz w:val="18"/>
      </w:rPr>
    </w:lvl>
    <w:lvl w:ilvl="2">
      <w:start w:val="1"/>
      <w:numFmt w:val="lowerLetter"/>
      <w:lvlText w:val="(%3)"/>
      <w:lvlJc w:val="left"/>
      <w:pPr>
        <w:ind w:hanging="284"/>
      </w:pPr>
      <w:rPr>
        <w:rFonts w:ascii="Arial" w:hAnsi="Arial"/>
        <w:b w:val="0"/>
        <w:color w:val="231F20"/>
        <w:spacing w:val="-7"/>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20">
    <w:nsid w:val="08AF41A1"/>
    <w:multiLevelType w:val="multilevel"/>
    <w:tmpl w:val="BC7460DA"/>
    <w:lvl w:ilvl="0">
      <w:start w:val="20"/>
      <w:numFmt w:val="decimal"/>
      <w:lvlText w:val="%1."/>
      <w:lvlJc w:val="left"/>
      <w:pPr>
        <w:ind w:left="480" w:hanging="480"/>
      </w:pPr>
      <w:rPr>
        <w:rFonts w:hint="default"/>
        <w:b/>
        <w:color w:val="231F20"/>
      </w:rPr>
    </w:lvl>
    <w:lvl w:ilvl="1">
      <w:start w:val="7"/>
      <w:numFmt w:val="decimal"/>
      <w:lvlText w:val="%1.%2."/>
      <w:lvlJc w:val="left"/>
      <w:pPr>
        <w:ind w:left="1047" w:hanging="480"/>
      </w:pPr>
      <w:rPr>
        <w:rFonts w:hint="default"/>
        <w:b/>
        <w:color w:val="231F20"/>
      </w:rPr>
    </w:lvl>
    <w:lvl w:ilvl="2">
      <w:start w:val="1"/>
      <w:numFmt w:val="decimal"/>
      <w:lvlText w:val="%1.%2.%3."/>
      <w:lvlJc w:val="left"/>
      <w:pPr>
        <w:ind w:left="1854" w:hanging="720"/>
      </w:pPr>
      <w:rPr>
        <w:rFonts w:hint="default"/>
        <w:b/>
        <w:color w:val="231F20"/>
      </w:rPr>
    </w:lvl>
    <w:lvl w:ilvl="3">
      <w:start w:val="1"/>
      <w:numFmt w:val="decimal"/>
      <w:lvlText w:val="%1.%2.%3.%4."/>
      <w:lvlJc w:val="left"/>
      <w:pPr>
        <w:ind w:left="2421" w:hanging="720"/>
      </w:pPr>
      <w:rPr>
        <w:rFonts w:hint="default"/>
        <w:b/>
        <w:color w:val="231F20"/>
      </w:rPr>
    </w:lvl>
    <w:lvl w:ilvl="4">
      <w:start w:val="1"/>
      <w:numFmt w:val="decimal"/>
      <w:lvlText w:val="%1.%2.%3.%4.%5."/>
      <w:lvlJc w:val="left"/>
      <w:pPr>
        <w:ind w:left="3348" w:hanging="1080"/>
      </w:pPr>
      <w:rPr>
        <w:rFonts w:hint="default"/>
        <w:b/>
        <w:color w:val="231F20"/>
      </w:rPr>
    </w:lvl>
    <w:lvl w:ilvl="5">
      <w:start w:val="1"/>
      <w:numFmt w:val="decimal"/>
      <w:lvlText w:val="%1.%2.%3.%4.%5.%6."/>
      <w:lvlJc w:val="left"/>
      <w:pPr>
        <w:ind w:left="3915" w:hanging="1080"/>
      </w:pPr>
      <w:rPr>
        <w:rFonts w:hint="default"/>
        <w:b/>
        <w:color w:val="231F20"/>
      </w:rPr>
    </w:lvl>
    <w:lvl w:ilvl="6">
      <w:start w:val="1"/>
      <w:numFmt w:val="decimal"/>
      <w:lvlText w:val="%1.%2.%3.%4.%5.%6.%7."/>
      <w:lvlJc w:val="left"/>
      <w:pPr>
        <w:ind w:left="4842" w:hanging="1440"/>
      </w:pPr>
      <w:rPr>
        <w:rFonts w:hint="default"/>
        <w:b/>
        <w:color w:val="231F20"/>
      </w:rPr>
    </w:lvl>
    <w:lvl w:ilvl="7">
      <w:start w:val="1"/>
      <w:numFmt w:val="decimal"/>
      <w:lvlText w:val="%1.%2.%3.%4.%5.%6.%7.%8."/>
      <w:lvlJc w:val="left"/>
      <w:pPr>
        <w:ind w:left="5409" w:hanging="1440"/>
      </w:pPr>
      <w:rPr>
        <w:rFonts w:hint="default"/>
        <w:b/>
        <w:color w:val="231F20"/>
      </w:rPr>
    </w:lvl>
    <w:lvl w:ilvl="8">
      <w:start w:val="1"/>
      <w:numFmt w:val="decimal"/>
      <w:lvlText w:val="%1.%2.%3.%4.%5.%6.%7.%8.%9."/>
      <w:lvlJc w:val="left"/>
      <w:pPr>
        <w:ind w:left="6336" w:hanging="1800"/>
      </w:pPr>
      <w:rPr>
        <w:rFonts w:hint="default"/>
        <w:b/>
        <w:color w:val="231F20"/>
      </w:rPr>
    </w:lvl>
  </w:abstractNum>
  <w:abstractNum w:abstractNumId="121">
    <w:nsid w:val="0FAB53FB"/>
    <w:multiLevelType w:val="hybridMultilevel"/>
    <w:tmpl w:val="4386E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30860C7"/>
    <w:multiLevelType w:val="multilevel"/>
    <w:tmpl w:val="BC7460DA"/>
    <w:lvl w:ilvl="0">
      <w:start w:val="20"/>
      <w:numFmt w:val="decimal"/>
      <w:lvlText w:val="%1."/>
      <w:lvlJc w:val="left"/>
      <w:pPr>
        <w:ind w:left="480" w:hanging="480"/>
      </w:pPr>
      <w:rPr>
        <w:rFonts w:hint="default"/>
        <w:b/>
        <w:color w:val="231F20"/>
      </w:rPr>
    </w:lvl>
    <w:lvl w:ilvl="1">
      <w:start w:val="7"/>
      <w:numFmt w:val="decimal"/>
      <w:lvlText w:val="%1.%2."/>
      <w:lvlJc w:val="left"/>
      <w:pPr>
        <w:ind w:left="1047" w:hanging="480"/>
      </w:pPr>
      <w:rPr>
        <w:rFonts w:hint="default"/>
        <w:b/>
        <w:color w:val="231F20"/>
      </w:rPr>
    </w:lvl>
    <w:lvl w:ilvl="2">
      <w:start w:val="1"/>
      <w:numFmt w:val="decimal"/>
      <w:lvlText w:val="%1.%2.%3."/>
      <w:lvlJc w:val="left"/>
      <w:pPr>
        <w:ind w:left="1854" w:hanging="720"/>
      </w:pPr>
      <w:rPr>
        <w:rFonts w:hint="default"/>
        <w:b/>
        <w:color w:val="231F20"/>
      </w:rPr>
    </w:lvl>
    <w:lvl w:ilvl="3">
      <w:start w:val="1"/>
      <w:numFmt w:val="decimal"/>
      <w:lvlText w:val="%1.%2.%3.%4."/>
      <w:lvlJc w:val="left"/>
      <w:pPr>
        <w:ind w:left="2421" w:hanging="720"/>
      </w:pPr>
      <w:rPr>
        <w:rFonts w:hint="default"/>
        <w:b/>
        <w:color w:val="231F20"/>
      </w:rPr>
    </w:lvl>
    <w:lvl w:ilvl="4">
      <w:start w:val="1"/>
      <w:numFmt w:val="decimal"/>
      <w:lvlText w:val="%1.%2.%3.%4.%5."/>
      <w:lvlJc w:val="left"/>
      <w:pPr>
        <w:ind w:left="3348" w:hanging="1080"/>
      </w:pPr>
      <w:rPr>
        <w:rFonts w:hint="default"/>
        <w:b/>
        <w:color w:val="231F20"/>
      </w:rPr>
    </w:lvl>
    <w:lvl w:ilvl="5">
      <w:start w:val="1"/>
      <w:numFmt w:val="decimal"/>
      <w:lvlText w:val="%1.%2.%3.%4.%5.%6."/>
      <w:lvlJc w:val="left"/>
      <w:pPr>
        <w:ind w:left="3915" w:hanging="1080"/>
      </w:pPr>
      <w:rPr>
        <w:rFonts w:hint="default"/>
        <w:b/>
        <w:color w:val="231F20"/>
      </w:rPr>
    </w:lvl>
    <w:lvl w:ilvl="6">
      <w:start w:val="1"/>
      <w:numFmt w:val="decimal"/>
      <w:lvlText w:val="%1.%2.%3.%4.%5.%6.%7."/>
      <w:lvlJc w:val="left"/>
      <w:pPr>
        <w:ind w:left="4842" w:hanging="1440"/>
      </w:pPr>
      <w:rPr>
        <w:rFonts w:hint="default"/>
        <w:b/>
        <w:color w:val="231F20"/>
      </w:rPr>
    </w:lvl>
    <w:lvl w:ilvl="7">
      <w:start w:val="1"/>
      <w:numFmt w:val="decimal"/>
      <w:lvlText w:val="%1.%2.%3.%4.%5.%6.%7.%8."/>
      <w:lvlJc w:val="left"/>
      <w:pPr>
        <w:ind w:left="5409" w:hanging="1440"/>
      </w:pPr>
      <w:rPr>
        <w:rFonts w:hint="default"/>
        <w:b/>
        <w:color w:val="231F20"/>
      </w:rPr>
    </w:lvl>
    <w:lvl w:ilvl="8">
      <w:start w:val="1"/>
      <w:numFmt w:val="decimal"/>
      <w:lvlText w:val="%1.%2.%3.%4.%5.%6.%7.%8.%9."/>
      <w:lvlJc w:val="left"/>
      <w:pPr>
        <w:ind w:left="6336" w:hanging="1800"/>
      </w:pPr>
      <w:rPr>
        <w:rFonts w:hint="default"/>
        <w:b/>
        <w:color w:val="231F20"/>
      </w:rPr>
    </w:lvl>
  </w:abstractNum>
  <w:abstractNum w:abstractNumId="123">
    <w:nsid w:val="36B2126E"/>
    <w:multiLevelType w:val="multilevel"/>
    <w:tmpl w:val="BC7460DA"/>
    <w:lvl w:ilvl="0">
      <w:start w:val="20"/>
      <w:numFmt w:val="decimal"/>
      <w:lvlText w:val="%1."/>
      <w:lvlJc w:val="left"/>
      <w:pPr>
        <w:ind w:left="480" w:hanging="480"/>
      </w:pPr>
      <w:rPr>
        <w:rFonts w:hint="default"/>
        <w:b/>
        <w:color w:val="231F20"/>
      </w:rPr>
    </w:lvl>
    <w:lvl w:ilvl="1">
      <w:start w:val="7"/>
      <w:numFmt w:val="decimal"/>
      <w:lvlText w:val="%1.%2."/>
      <w:lvlJc w:val="left"/>
      <w:pPr>
        <w:ind w:left="1047" w:hanging="480"/>
      </w:pPr>
      <w:rPr>
        <w:rFonts w:hint="default"/>
        <w:b/>
        <w:color w:val="231F20"/>
      </w:rPr>
    </w:lvl>
    <w:lvl w:ilvl="2">
      <w:start w:val="1"/>
      <w:numFmt w:val="decimal"/>
      <w:lvlText w:val="%1.%2.%3."/>
      <w:lvlJc w:val="left"/>
      <w:pPr>
        <w:ind w:left="1854" w:hanging="720"/>
      </w:pPr>
      <w:rPr>
        <w:rFonts w:hint="default"/>
        <w:b/>
        <w:color w:val="231F20"/>
      </w:rPr>
    </w:lvl>
    <w:lvl w:ilvl="3">
      <w:start w:val="1"/>
      <w:numFmt w:val="decimal"/>
      <w:lvlText w:val="%1.%2.%3.%4."/>
      <w:lvlJc w:val="left"/>
      <w:pPr>
        <w:ind w:left="2421" w:hanging="720"/>
      </w:pPr>
      <w:rPr>
        <w:rFonts w:hint="default"/>
        <w:b/>
        <w:color w:val="231F20"/>
      </w:rPr>
    </w:lvl>
    <w:lvl w:ilvl="4">
      <w:start w:val="1"/>
      <w:numFmt w:val="decimal"/>
      <w:lvlText w:val="%1.%2.%3.%4.%5."/>
      <w:lvlJc w:val="left"/>
      <w:pPr>
        <w:ind w:left="3348" w:hanging="1080"/>
      </w:pPr>
      <w:rPr>
        <w:rFonts w:hint="default"/>
        <w:b/>
        <w:color w:val="231F20"/>
      </w:rPr>
    </w:lvl>
    <w:lvl w:ilvl="5">
      <w:start w:val="1"/>
      <w:numFmt w:val="decimal"/>
      <w:lvlText w:val="%1.%2.%3.%4.%5.%6."/>
      <w:lvlJc w:val="left"/>
      <w:pPr>
        <w:ind w:left="3915" w:hanging="1080"/>
      </w:pPr>
      <w:rPr>
        <w:rFonts w:hint="default"/>
        <w:b/>
        <w:color w:val="231F20"/>
      </w:rPr>
    </w:lvl>
    <w:lvl w:ilvl="6">
      <w:start w:val="1"/>
      <w:numFmt w:val="decimal"/>
      <w:lvlText w:val="%1.%2.%3.%4.%5.%6.%7."/>
      <w:lvlJc w:val="left"/>
      <w:pPr>
        <w:ind w:left="4842" w:hanging="1440"/>
      </w:pPr>
      <w:rPr>
        <w:rFonts w:hint="default"/>
        <w:b/>
        <w:color w:val="231F20"/>
      </w:rPr>
    </w:lvl>
    <w:lvl w:ilvl="7">
      <w:start w:val="1"/>
      <w:numFmt w:val="decimal"/>
      <w:lvlText w:val="%1.%2.%3.%4.%5.%6.%7.%8."/>
      <w:lvlJc w:val="left"/>
      <w:pPr>
        <w:ind w:left="5409" w:hanging="1440"/>
      </w:pPr>
      <w:rPr>
        <w:rFonts w:hint="default"/>
        <w:b/>
        <w:color w:val="231F20"/>
      </w:rPr>
    </w:lvl>
    <w:lvl w:ilvl="8">
      <w:start w:val="1"/>
      <w:numFmt w:val="decimal"/>
      <w:lvlText w:val="%1.%2.%3.%4.%5.%6.%7.%8.%9."/>
      <w:lvlJc w:val="left"/>
      <w:pPr>
        <w:ind w:left="6336" w:hanging="1800"/>
      </w:pPr>
      <w:rPr>
        <w:rFonts w:hint="default"/>
        <w:b/>
        <w:color w:val="231F20"/>
      </w:rPr>
    </w:lvl>
  </w:abstractNum>
  <w:abstractNum w:abstractNumId="124">
    <w:nsid w:val="46BA0661"/>
    <w:multiLevelType w:val="multilevel"/>
    <w:tmpl w:val="00000887"/>
    <w:lvl w:ilvl="0">
      <w:start w:val="20"/>
      <w:numFmt w:val="decimal"/>
      <w:lvlText w:val="%1."/>
      <w:lvlJc w:val="left"/>
      <w:pPr>
        <w:ind w:hanging="567"/>
      </w:pPr>
      <w:rPr>
        <w:rFonts w:ascii="Arial" w:hAnsi="Arial"/>
        <w:b/>
        <w:color w:val="231F20"/>
        <w:spacing w:val="2"/>
        <w:sz w:val="18"/>
      </w:rPr>
    </w:lvl>
    <w:lvl w:ilvl="1">
      <w:start w:val="1"/>
      <w:numFmt w:val="decimal"/>
      <w:lvlText w:val="%1.%2."/>
      <w:lvlJc w:val="left"/>
      <w:pPr>
        <w:ind w:hanging="567"/>
      </w:pPr>
      <w:rPr>
        <w:rFonts w:ascii="Arial" w:hAnsi="Arial"/>
        <w:b w:val="0"/>
        <w:color w:val="231F20"/>
        <w:spacing w:val="1"/>
        <w:sz w:val="18"/>
      </w:rPr>
    </w:lvl>
    <w:lvl w:ilvl="2">
      <w:start w:val="1"/>
      <w:numFmt w:val="bullet"/>
      <w:lvlText w:val="•"/>
      <w:lvlJc w:val="left"/>
      <w:pPr>
        <w:ind w:hanging="284"/>
      </w:pPr>
      <w:rPr>
        <w:rFonts w:ascii="Arial" w:hAnsi="Arial"/>
        <w:b w:val="0"/>
        <w:color w:val="231F20"/>
        <w:sz w:val="18"/>
      </w:rPr>
    </w:lvl>
    <w:lvl w:ilvl="3">
      <w:start w:val="1"/>
      <w:numFmt w:val="bullet"/>
      <w:lvlText w:val="•"/>
      <w:lvlJc w:val="left"/>
      <w:pPr>
        <w:ind w:hanging="284"/>
      </w:pPr>
    </w:lvl>
    <w:lvl w:ilvl="4">
      <w:start w:val="1"/>
      <w:numFmt w:val="bullet"/>
      <w:lvlText w:val="•"/>
      <w:lvlJc w:val="left"/>
      <w:pPr>
        <w:ind w:hanging="284"/>
      </w:pPr>
    </w:lvl>
    <w:lvl w:ilvl="5">
      <w:start w:val="1"/>
      <w:numFmt w:val="bullet"/>
      <w:lvlText w:val="•"/>
      <w:lvlJc w:val="left"/>
      <w:pPr>
        <w:ind w:hanging="284"/>
      </w:pPr>
    </w:lvl>
    <w:lvl w:ilvl="6">
      <w:start w:val="1"/>
      <w:numFmt w:val="bullet"/>
      <w:lvlText w:val="•"/>
      <w:lvlJc w:val="left"/>
      <w:pPr>
        <w:ind w:hanging="284"/>
      </w:pPr>
    </w:lvl>
    <w:lvl w:ilvl="7">
      <w:start w:val="1"/>
      <w:numFmt w:val="bullet"/>
      <w:lvlText w:val="•"/>
      <w:lvlJc w:val="left"/>
      <w:pPr>
        <w:ind w:hanging="284"/>
      </w:pPr>
    </w:lvl>
    <w:lvl w:ilvl="8">
      <w:start w:val="1"/>
      <w:numFmt w:val="bullet"/>
      <w:lvlText w:val="•"/>
      <w:lvlJc w:val="left"/>
      <w:pPr>
        <w:ind w:hanging="284"/>
      </w:pPr>
    </w:lvl>
  </w:abstractNum>
  <w:abstractNum w:abstractNumId="125">
    <w:nsid w:val="664F2490"/>
    <w:multiLevelType w:val="multilevel"/>
    <w:tmpl w:val="BC7460DA"/>
    <w:lvl w:ilvl="0">
      <w:start w:val="20"/>
      <w:numFmt w:val="decimal"/>
      <w:lvlText w:val="%1."/>
      <w:lvlJc w:val="left"/>
      <w:pPr>
        <w:ind w:left="480" w:hanging="480"/>
      </w:pPr>
      <w:rPr>
        <w:rFonts w:hint="default"/>
        <w:b/>
        <w:color w:val="231F20"/>
      </w:rPr>
    </w:lvl>
    <w:lvl w:ilvl="1">
      <w:start w:val="7"/>
      <w:numFmt w:val="decimal"/>
      <w:lvlText w:val="%1.%2."/>
      <w:lvlJc w:val="left"/>
      <w:pPr>
        <w:ind w:left="1047" w:hanging="480"/>
      </w:pPr>
      <w:rPr>
        <w:rFonts w:hint="default"/>
        <w:b/>
        <w:color w:val="231F20"/>
      </w:rPr>
    </w:lvl>
    <w:lvl w:ilvl="2">
      <w:start w:val="1"/>
      <w:numFmt w:val="decimal"/>
      <w:lvlText w:val="%1.%2.%3."/>
      <w:lvlJc w:val="left"/>
      <w:pPr>
        <w:ind w:left="1854" w:hanging="720"/>
      </w:pPr>
      <w:rPr>
        <w:rFonts w:hint="default"/>
        <w:b/>
        <w:color w:val="231F20"/>
      </w:rPr>
    </w:lvl>
    <w:lvl w:ilvl="3">
      <w:start w:val="1"/>
      <w:numFmt w:val="decimal"/>
      <w:lvlText w:val="%1.%2.%3.%4."/>
      <w:lvlJc w:val="left"/>
      <w:pPr>
        <w:ind w:left="2421" w:hanging="720"/>
      </w:pPr>
      <w:rPr>
        <w:rFonts w:hint="default"/>
        <w:b/>
        <w:color w:val="231F20"/>
      </w:rPr>
    </w:lvl>
    <w:lvl w:ilvl="4">
      <w:start w:val="1"/>
      <w:numFmt w:val="decimal"/>
      <w:lvlText w:val="%1.%2.%3.%4.%5."/>
      <w:lvlJc w:val="left"/>
      <w:pPr>
        <w:ind w:left="3348" w:hanging="1080"/>
      </w:pPr>
      <w:rPr>
        <w:rFonts w:hint="default"/>
        <w:b/>
        <w:color w:val="231F20"/>
      </w:rPr>
    </w:lvl>
    <w:lvl w:ilvl="5">
      <w:start w:val="1"/>
      <w:numFmt w:val="decimal"/>
      <w:lvlText w:val="%1.%2.%3.%4.%5.%6."/>
      <w:lvlJc w:val="left"/>
      <w:pPr>
        <w:ind w:left="3915" w:hanging="1080"/>
      </w:pPr>
      <w:rPr>
        <w:rFonts w:hint="default"/>
        <w:b/>
        <w:color w:val="231F20"/>
      </w:rPr>
    </w:lvl>
    <w:lvl w:ilvl="6">
      <w:start w:val="1"/>
      <w:numFmt w:val="decimal"/>
      <w:lvlText w:val="%1.%2.%3.%4.%5.%6.%7."/>
      <w:lvlJc w:val="left"/>
      <w:pPr>
        <w:ind w:left="4842" w:hanging="1440"/>
      </w:pPr>
      <w:rPr>
        <w:rFonts w:hint="default"/>
        <w:b/>
        <w:color w:val="231F20"/>
      </w:rPr>
    </w:lvl>
    <w:lvl w:ilvl="7">
      <w:start w:val="1"/>
      <w:numFmt w:val="decimal"/>
      <w:lvlText w:val="%1.%2.%3.%4.%5.%6.%7.%8."/>
      <w:lvlJc w:val="left"/>
      <w:pPr>
        <w:ind w:left="5409" w:hanging="1440"/>
      </w:pPr>
      <w:rPr>
        <w:rFonts w:hint="default"/>
        <w:b/>
        <w:color w:val="231F20"/>
      </w:rPr>
    </w:lvl>
    <w:lvl w:ilvl="8">
      <w:start w:val="1"/>
      <w:numFmt w:val="decimal"/>
      <w:lvlText w:val="%1.%2.%3.%4.%5.%6.%7.%8.%9."/>
      <w:lvlJc w:val="left"/>
      <w:pPr>
        <w:ind w:left="6336" w:hanging="1800"/>
      </w:pPr>
      <w:rPr>
        <w:rFonts w:hint="default"/>
        <w:b/>
        <w:color w:val="231F20"/>
      </w:rPr>
    </w:lvl>
  </w:abstractNum>
  <w:num w:numId="1">
    <w:abstractNumId w:val="119"/>
  </w:num>
  <w:num w:numId="2">
    <w:abstractNumId w:val="118"/>
  </w:num>
  <w:num w:numId="3">
    <w:abstractNumId w:val="117"/>
  </w:num>
  <w:num w:numId="4">
    <w:abstractNumId w:val="116"/>
  </w:num>
  <w:num w:numId="5">
    <w:abstractNumId w:val="115"/>
  </w:num>
  <w:num w:numId="6">
    <w:abstractNumId w:val="114"/>
  </w:num>
  <w:num w:numId="7">
    <w:abstractNumId w:val="113"/>
  </w:num>
  <w:num w:numId="8">
    <w:abstractNumId w:val="112"/>
  </w:num>
  <w:num w:numId="9">
    <w:abstractNumId w:val="111"/>
  </w:num>
  <w:num w:numId="10">
    <w:abstractNumId w:val="110"/>
  </w:num>
  <w:num w:numId="11">
    <w:abstractNumId w:val="109"/>
  </w:num>
  <w:num w:numId="12">
    <w:abstractNumId w:val="108"/>
  </w:num>
  <w:num w:numId="13">
    <w:abstractNumId w:val="107"/>
  </w:num>
  <w:num w:numId="14">
    <w:abstractNumId w:val="106"/>
  </w:num>
  <w:num w:numId="15">
    <w:abstractNumId w:val="105"/>
  </w:num>
  <w:num w:numId="16">
    <w:abstractNumId w:val="104"/>
  </w:num>
  <w:num w:numId="17">
    <w:abstractNumId w:val="103"/>
  </w:num>
  <w:num w:numId="18">
    <w:abstractNumId w:val="102"/>
  </w:num>
  <w:num w:numId="19">
    <w:abstractNumId w:val="101"/>
  </w:num>
  <w:num w:numId="20">
    <w:abstractNumId w:val="100"/>
  </w:num>
  <w:num w:numId="21">
    <w:abstractNumId w:val="99"/>
  </w:num>
  <w:num w:numId="22">
    <w:abstractNumId w:val="98"/>
  </w:num>
  <w:num w:numId="23">
    <w:abstractNumId w:val="97"/>
  </w:num>
  <w:num w:numId="24">
    <w:abstractNumId w:val="96"/>
  </w:num>
  <w:num w:numId="25">
    <w:abstractNumId w:val="95"/>
  </w:num>
  <w:num w:numId="26">
    <w:abstractNumId w:val="94"/>
  </w:num>
  <w:num w:numId="27">
    <w:abstractNumId w:val="93"/>
  </w:num>
  <w:num w:numId="28">
    <w:abstractNumId w:val="92"/>
  </w:num>
  <w:num w:numId="29">
    <w:abstractNumId w:val="91"/>
  </w:num>
  <w:num w:numId="30">
    <w:abstractNumId w:val="90"/>
  </w:num>
  <w:num w:numId="31">
    <w:abstractNumId w:val="89"/>
  </w:num>
  <w:num w:numId="32">
    <w:abstractNumId w:val="88"/>
  </w:num>
  <w:num w:numId="33">
    <w:abstractNumId w:val="87"/>
  </w:num>
  <w:num w:numId="34">
    <w:abstractNumId w:val="86"/>
  </w:num>
  <w:num w:numId="35">
    <w:abstractNumId w:val="85"/>
  </w:num>
  <w:num w:numId="36">
    <w:abstractNumId w:val="84"/>
  </w:num>
  <w:num w:numId="37">
    <w:abstractNumId w:val="83"/>
  </w:num>
  <w:num w:numId="38">
    <w:abstractNumId w:val="82"/>
  </w:num>
  <w:num w:numId="39">
    <w:abstractNumId w:val="81"/>
  </w:num>
  <w:num w:numId="40">
    <w:abstractNumId w:val="80"/>
  </w:num>
  <w:num w:numId="41">
    <w:abstractNumId w:val="79"/>
  </w:num>
  <w:num w:numId="42">
    <w:abstractNumId w:val="78"/>
  </w:num>
  <w:num w:numId="43">
    <w:abstractNumId w:val="77"/>
  </w:num>
  <w:num w:numId="44">
    <w:abstractNumId w:val="76"/>
  </w:num>
  <w:num w:numId="45">
    <w:abstractNumId w:val="75"/>
  </w:num>
  <w:num w:numId="46">
    <w:abstractNumId w:val="74"/>
  </w:num>
  <w:num w:numId="47">
    <w:abstractNumId w:val="73"/>
  </w:num>
  <w:num w:numId="48">
    <w:abstractNumId w:val="72"/>
  </w:num>
  <w:num w:numId="49">
    <w:abstractNumId w:val="71"/>
  </w:num>
  <w:num w:numId="50">
    <w:abstractNumId w:val="70"/>
  </w:num>
  <w:num w:numId="51">
    <w:abstractNumId w:val="69"/>
  </w:num>
  <w:num w:numId="52">
    <w:abstractNumId w:val="68"/>
  </w:num>
  <w:num w:numId="53">
    <w:abstractNumId w:val="67"/>
  </w:num>
  <w:num w:numId="54">
    <w:abstractNumId w:val="66"/>
  </w:num>
  <w:num w:numId="55">
    <w:abstractNumId w:val="65"/>
  </w:num>
  <w:num w:numId="56">
    <w:abstractNumId w:val="64"/>
  </w:num>
  <w:num w:numId="57">
    <w:abstractNumId w:val="63"/>
  </w:num>
  <w:num w:numId="58">
    <w:abstractNumId w:val="62"/>
  </w:num>
  <w:num w:numId="59">
    <w:abstractNumId w:val="61"/>
  </w:num>
  <w:num w:numId="60">
    <w:abstractNumId w:val="60"/>
  </w:num>
  <w:num w:numId="61">
    <w:abstractNumId w:val="59"/>
  </w:num>
  <w:num w:numId="62">
    <w:abstractNumId w:val="58"/>
  </w:num>
  <w:num w:numId="63">
    <w:abstractNumId w:val="57"/>
  </w:num>
  <w:num w:numId="64">
    <w:abstractNumId w:val="56"/>
  </w:num>
  <w:num w:numId="65">
    <w:abstractNumId w:val="55"/>
  </w:num>
  <w:num w:numId="66">
    <w:abstractNumId w:val="54"/>
  </w:num>
  <w:num w:numId="67">
    <w:abstractNumId w:val="53"/>
  </w:num>
  <w:num w:numId="68">
    <w:abstractNumId w:val="52"/>
  </w:num>
  <w:num w:numId="69">
    <w:abstractNumId w:val="51"/>
  </w:num>
  <w:num w:numId="70">
    <w:abstractNumId w:val="50"/>
  </w:num>
  <w:num w:numId="71">
    <w:abstractNumId w:val="49"/>
  </w:num>
  <w:num w:numId="72">
    <w:abstractNumId w:val="48"/>
  </w:num>
  <w:num w:numId="73">
    <w:abstractNumId w:val="47"/>
  </w:num>
  <w:num w:numId="74">
    <w:abstractNumId w:val="46"/>
  </w:num>
  <w:num w:numId="75">
    <w:abstractNumId w:val="45"/>
  </w:num>
  <w:num w:numId="76">
    <w:abstractNumId w:val="44"/>
  </w:num>
  <w:num w:numId="77">
    <w:abstractNumId w:val="43"/>
  </w:num>
  <w:num w:numId="78">
    <w:abstractNumId w:val="42"/>
  </w:num>
  <w:num w:numId="79">
    <w:abstractNumId w:val="41"/>
  </w:num>
  <w:num w:numId="80">
    <w:abstractNumId w:val="40"/>
  </w:num>
  <w:num w:numId="81">
    <w:abstractNumId w:val="39"/>
  </w:num>
  <w:num w:numId="82">
    <w:abstractNumId w:val="38"/>
  </w:num>
  <w:num w:numId="83">
    <w:abstractNumId w:val="37"/>
  </w:num>
  <w:num w:numId="84">
    <w:abstractNumId w:val="36"/>
  </w:num>
  <w:num w:numId="85">
    <w:abstractNumId w:val="35"/>
  </w:num>
  <w:num w:numId="86">
    <w:abstractNumId w:val="34"/>
  </w:num>
  <w:num w:numId="87">
    <w:abstractNumId w:val="33"/>
  </w:num>
  <w:num w:numId="88">
    <w:abstractNumId w:val="32"/>
  </w:num>
  <w:num w:numId="89">
    <w:abstractNumId w:val="31"/>
  </w:num>
  <w:num w:numId="90">
    <w:abstractNumId w:val="30"/>
  </w:num>
  <w:num w:numId="91">
    <w:abstractNumId w:val="29"/>
  </w:num>
  <w:num w:numId="92">
    <w:abstractNumId w:val="28"/>
  </w:num>
  <w:num w:numId="93">
    <w:abstractNumId w:val="27"/>
  </w:num>
  <w:num w:numId="94">
    <w:abstractNumId w:val="26"/>
  </w:num>
  <w:num w:numId="95">
    <w:abstractNumId w:val="25"/>
  </w:num>
  <w:num w:numId="96">
    <w:abstractNumId w:val="24"/>
  </w:num>
  <w:num w:numId="97">
    <w:abstractNumId w:val="23"/>
  </w:num>
  <w:num w:numId="98">
    <w:abstractNumId w:val="22"/>
  </w:num>
  <w:num w:numId="99">
    <w:abstractNumId w:val="21"/>
  </w:num>
  <w:num w:numId="100">
    <w:abstractNumId w:val="20"/>
  </w:num>
  <w:num w:numId="101">
    <w:abstractNumId w:val="19"/>
  </w:num>
  <w:num w:numId="102">
    <w:abstractNumId w:val="18"/>
  </w:num>
  <w:num w:numId="103">
    <w:abstractNumId w:val="17"/>
  </w:num>
  <w:num w:numId="104">
    <w:abstractNumId w:val="16"/>
  </w:num>
  <w:num w:numId="105">
    <w:abstractNumId w:val="15"/>
  </w:num>
  <w:num w:numId="106">
    <w:abstractNumId w:val="14"/>
  </w:num>
  <w:num w:numId="107">
    <w:abstractNumId w:val="13"/>
  </w:num>
  <w:num w:numId="108">
    <w:abstractNumId w:val="12"/>
  </w:num>
  <w:num w:numId="109">
    <w:abstractNumId w:val="11"/>
  </w:num>
  <w:num w:numId="110">
    <w:abstractNumId w:val="10"/>
  </w:num>
  <w:num w:numId="111">
    <w:abstractNumId w:val="9"/>
  </w:num>
  <w:num w:numId="112">
    <w:abstractNumId w:val="8"/>
  </w:num>
  <w:num w:numId="113">
    <w:abstractNumId w:val="7"/>
  </w:num>
  <w:num w:numId="114">
    <w:abstractNumId w:val="6"/>
  </w:num>
  <w:num w:numId="115">
    <w:abstractNumId w:val="5"/>
  </w:num>
  <w:num w:numId="116">
    <w:abstractNumId w:val="4"/>
  </w:num>
  <w:num w:numId="117">
    <w:abstractNumId w:val="3"/>
  </w:num>
  <w:num w:numId="118">
    <w:abstractNumId w:val="2"/>
  </w:num>
  <w:num w:numId="119">
    <w:abstractNumId w:val="1"/>
  </w:num>
  <w:num w:numId="120">
    <w:abstractNumId w:val="0"/>
  </w:num>
  <w:num w:numId="121">
    <w:abstractNumId w:val="124"/>
  </w:num>
  <w:num w:numId="122">
    <w:abstractNumId w:val="125"/>
  </w:num>
  <w:num w:numId="123">
    <w:abstractNumId w:val="123"/>
  </w:num>
  <w:num w:numId="124">
    <w:abstractNumId w:val="122"/>
  </w:num>
  <w:num w:numId="125">
    <w:abstractNumId w:val="121"/>
  </w:num>
  <w:num w:numId="126">
    <w:abstractNumId w:val="12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doNotShadeFormData/>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D9"/>
    <w:rsid w:val="000077C8"/>
    <w:rsid w:val="000B31C1"/>
    <w:rsid w:val="00154962"/>
    <w:rsid w:val="001617F2"/>
    <w:rsid w:val="001E366E"/>
    <w:rsid w:val="001F22AE"/>
    <w:rsid w:val="00207C20"/>
    <w:rsid w:val="002303AB"/>
    <w:rsid w:val="00233BAA"/>
    <w:rsid w:val="00242B9F"/>
    <w:rsid w:val="00281851"/>
    <w:rsid w:val="00281953"/>
    <w:rsid w:val="0030639D"/>
    <w:rsid w:val="003220A8"/>
    <w:rsid w:val="003909E0"/>
    <w:rsid w:val="003C64E0"/>
    <w:rsid w:val="003D5242"/>
    <w:rsid w:val="004B6D83"/>
    <w:rsid w:val="004D03B2"/>
    <w:rsid w:val="004E5D77"/>
    <w:rsid w:val="00537609"/>
    <w:rsid w:val="005B08CE"/>
    <w:rsid w:val="005C3E3E"/>
    <w:rsid w:val="005C5DBB"/>
    <w:rsid w:val="00623CA1"/>
    <w:rsid w:val="00642A4D"/>
    <w:rsid w:val="00677FAC"/>
    <w:rsid w:val="006D28FF"/>
    <w:rsid w:val="006E759E"/>
    <w:rsid w:val="0072444D"/>
    <w:rsid w:val="0075026C"/>
    <w:rsid w:val="007562F0"/>
    <w:rsid w:val="00771DAC"/>
    <w:rsid w:val="007C73CB"/>
    <w:rsid w:val="00833515"/>
    <w:rsid w:val="00871513"/>
    <w:rsid w:val="008C0BBA"/>
    <w:rsid w:val="008C4BB4"/>
    <w:rsid w:val="008D46C8"/>
    <w:rsid w:val="009014D9"/>
    <w:rsid w:val="009C2EF2"/>
    <w:rsid w:val="009C7105"/>
    <w:rsid w:val="009D10A0"/>
    <w:rsid w:val="00A51157"/>
    <w:rsid w:val="00A65349"/>
    <w:rsid w:val="00A72C8E"/>
    <w:rsid w:val="00A80375"/>
    <w:rsid w:val="00B36FA2"/>
    <w:rsid w:val="00B4259D"/>
    <w:rsid w:val="00B85892"/>
    <w:rsid w:val="00C11094"/>
    <w:rsid w:val="00C1247D"/>
    <w:rsid w:val="00C12F86"/>
    <w:rsid w:val="00C73947"/>
    <w:rsid w:val="00C82D07"/>
    <w:rsid w:val="00C84826"/>
    <w:rsid w:val="00C94547"/>
    <w:rsid w:val="00CA58A1"/>
    <w:rsid w:val="00CC0B7F"/>
    <w:rsid w:val="00CF60BC"/>
    <w:rsid w:val="00D01B60"/>
    <w:rsid w:val="00D02DD9"/>
    <w:rsid w:val="00D26F51"/>
    <w:rsid w:val="00D52DBE"/>
    <w:rsid w:val="00D54817"/>
    <w:rsid w:val="00DA349A"/>
    <w:rsid w:val="00DD247E"/>
    <w:rsid w:val="00DE33E4"/>
    <w:rsid w:val="00E60AEE"/>
    <w:rsid w:val="00EB5624"/>
    <w:rsid w:val="00EC4F78"/>
    <w:rsid w:val="00ED7067"/>
    <w:rsid w:val="00F22F09"/>
    <w:rsid w:val="00F518A1"/>
    <w:rsid w:val="00FD4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3D0A9C-4EA6-419C-AD0B-D75687BF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530"/>
    </w:pPr>
    <w:rPr>
      <w:rFonts w:ascii="Arial" w:hAnsi="Arial"/>
      <w:sz w:val="18"/>
    </w:rPr>
  </w:style>
  <w:style w:type="paragraph" w:customStyle="1" w:styleId="Heading11">
    <w:name w:val="Heading 11"/>
    <w:basedOn w:val="a"/>
    <w:uiPriority w:val="1"/>
    <w:qFormat/>
    <w:pPr>
      <w:ind w:left="113"/>
      <w:outlineLvl w:val="0"/>
    </w:pPr>
    <w:rPr>
      <w:rFonts w:ascii="Arial" w:hAnsi="Arial"/>
      <w:b/>
      <w:sz w:val="40"/>
    </w:rPr>
  </w:style>
  <w:style w:type="paragraph" w:customStyle="1" w:styleId="Heading21">
    <w:name w:val="Heading 21"/>
    <w:basedOn w:val="a"/>
    <w:uiPriority w:val="1"/>
    <w:qFormat/>
    <w:pPr>
      <w:spacing w:before="69"/>
      <w:ind w:left="113"/>
      <w:outlineLvl w:val="1"/>
    </w:pPr>
    <w:rPr>
      <w:rFonts w:ascii="Arial" w:hAnsi="Arial"/>
      <w:b/>
      <w:sz w:val="24"/>
    </w:rPr>
  </w:style>
  <w:style w:type="paragraph" w:customStyle="1" w:styleId="Heading31">
    <w:name w:val="Heading 31"/>
    <w:basedOn w:val="a"/>
    <w:uiPriority w:val="1"/>
    <w:qFormat/>
    <w:pPr>
      <w:ind w:left="20"/>
      <w:outlineLvl w:val="2"/>
    </w:pPr>
    <w:rPr>
      <w:rFonts w:ascii="Arial" w:hAnsi="Arial"/>
      <w:b/>
    </w:rPr>
  </w:style>
  <w:style w:type="paragraph" w:customStyle="1" w:styleId="Heading41">
    <w:name w:val="Heading 41"/>
    <w:basedOn w:val="a"/>
    <w:uiPriority w:val="1"/>
    <w:qFormat/>
    <w:pPr>
      <w:ind w:left="680" w:hanging="567"/>
      <w:outlineLvl w:val="3"/>
    </w:pPr>
    <w:rPr>
      <w:rFonts w:ascii="Arial" w:hAnsi="Arial"/>
      <w:b/>
      <w:sz w:val="18"/>
    </w:rPr>
  </w:style>
  <w:style w:type="paragraph" w:customStyle="1" w:styleId="Heading51">
    <w:name w:val="Heading 51"/>
    <w:basedOn w:val="a"/>
    <w:uiPriority w:val="1"/>
    <w:qFormat/>
    <w:pPr>
      <w:ind w:left="680"/>
      <w:outlineLvl w:val="4"/>
    </w:pPr>
    <w:rPr>
      <w:rFonts w:ascii="Arial" w:hAnsi="Arial"/>
      <w:b/>
      <w:i/>
      <w:sz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8C0BBA"/>
    <w:pPr>
      <w:tabs>
        <w:tab w:val="center" w:pos="4680"/>
        <w:tab w:val="right" w:pos="9360"/>
      </w:tabs>
    </w:pPr>
  </w:style>
  <w:style w:type="character" w:customStyle="1" w:styleId="a6">
    <w:name w:val="Верхний колонтитул Знак"/>
    <w:basedOn w:val="a0"/>
    <w:link w:val="a5"/>
    <w:uiPriority w:val="99"/>
    <w:rsid w:val="008C0BBA"/>
  </w:style>
  <w:style w:type="paragraph" w:styleId="a7">
    <w:name w:val="footer"/>
    <w:basedOn w:val="a"/>
    <w:link w:val="a8"/>
    <w:uiPriority w:val="99"/>
    <w:unhideWhenUsed/>
    <w:rsid w:val="008C0BBA"/>
    <w:pPr>
      <w:tabs>
        <w:tab w:val="center" w:pos="4680"/>
        <w:tab w:val="right" w:pos="9360"/>
      </w:tabs>
    </w:pPr>
  </w:style>
  <w:style w:type="character" w:customStyle="1" w:styleId="a8">
    <w:name w:val="Нижний колонтитул Знак"/>
    <w:basedOn w:val="a0"/>
    <w:link w:val="a7"/>
    <w:uiPriority w:val="99"/>
    <w:rsid w:val="008C0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104.xml"/><Relationship Id="rId21" Type="http://schemas.openxmlformats.org/officeDocument/2006/relationships/footer" Target="footer8.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50.xml"/><Relationship Id="rId68" Type="http://schemas.openxmlformats.org/officeDocument/2006/relationships/footer" Target="footer55.xml"/><Relationship Id="rId84" Type="http://schemas.openxmlformats.org/officeDocument/2006/relationships/footer" Target="footer71.xml"/><Relationship Id="rId89" Type="http://schemas.openxmlformats.org/officeDocument/2006/relationships/footer" Target="footer76.xml"/><Relationship Id="rId112" Type="http://schemas.openxmlformats.org/officeDocument/2006/relationships/footer" Target="footer99.xml"/><Relationship Id="rId16" Type="http://schemas.openxmlformats.org/officeDocument/2006/relationships/footer" Target="footer3.xml"/><Relationship Id="rId107" Type="http://schemas.openxmlformats.org/officeDocument/2006/relationships/footer" Target="footer94.xml"/><Relationship Id="rId11" Type="http://schemas.openxmlformats.org/officeDocument/2006/relationships/footer" Target="footer1.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61.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hyperlink" Target="mailto:contact@ivsc.org" TargetMode="External"/><Relationship Id="rId128" Type="http://schemas.openxmlformats.org/officeDocument/2006/relationships/glossaryDocument" Target="glossary/document.xml"/><Relationship Id="rId5" Type="http://schemas.openxmlformats.org/officeDocument/2006/relationships/footnotes" Target="footnotes.xml"/><Relationship Id="rId90" Type="http://schemas.openxmlformats.org/officeDocument/2006/relationships/footer" Target="footer77.xml"/><Relationship Id="rId95" Type="http://schemas.openxmlformats.org/officeDocument/2006/relationships/footer" Target="footer82.xml"/><Relationship Id="rId19" Type="http://schemas.openxmlformats.org/officeDocument/2006/relationships/footer" Target="footer6.xml"/><Relationship Id="rId14" Type="http://schemas.openxmlformats.org/officeDocument/2006/relationships/image" Target="media/image5.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footer" Target="footer43.xml"/><Relationship Id="rId64" Type="http://schemas.openxmlformats.org/officeDocument/2006/relationships/footer" Target="footer51.xml"/><Relationship Id="rId69" Type="http://schemas.openxmlformats.org/officeDocument/2006/relationships/footer" Target="footer56.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13" Type="http://schemas.openxmlformats.org/officeDocument/2006/relationships/footer" Target="footer100.xml"/><Relationship Id="rId118" Type="http://schemas.openxmlformats.org/officeDocument/2006/relationships/footer" Target="footer105.xml"/><Relationship Id="rId126" Type="http://schemas.openxmlformats.org/officeDocument/2006/relationships/footer" Target="footer109.xml"/><Relationship Id="rId8" Type="http://schemas.openxmlformats.org/officeDocument/2006/relationships/image" Target="media/image2.png"/><Relationship Id="rId51" Type="http://schemas.openxmlformats.org/officeDocument/2006/relationships/footer" Target="footer38.xml"/><Relationship Id="rId72" Type="http://schemas.openxmlformats.org/officeDocument/2006/relationships/footer" Target="footer59.xml"/><Relationship Id="rId80" Type="http://schemas.openxmlformats.org/officeDocument/2006/relationships/footer" Target="footer67.xml"/><Relationship Id="rId85" Type="http://schemas.openxmlformats.org/officeDocument/2006/relationships/footer" Target="footer72.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8.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footer" Target="footer46.xml"/><Relationship Id="rId67" Type="http://schemas.openxmlformats.org/officeDocument/2006/relationships/footer" Target="footer54.xml"/><Relationship Id="rId103" Type="http://schemas.openxmlformats.org/officeDocument/2006/relationships/footer" Target="footer90.xml"/><Relationship Id="rId108" Type="http://schemas.openxmlformats.org/officeDocument/2006/relationships/footer" Target="footer95.xml"/><Relationship Id="rId116" Type="http://schemas.openxmlformats.org/officeDocument/2006/relationships/footer" Target="footer103.xml"/><Relationship Id="rId124" Type="http://schemas.openxmlformats.org/officeDocument/2006/relationships/hyperlink" Target="http://www.ivsc.org/" TargetMode="External"/><Relationship Id="rId12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41.xml"/><Relationship Id="rId62" Type="http://schemas.openxmlformats.org/officeDocument/2006/relationships/footer" Target="footer49.xml"/><Relationship Id="rId70" Type="http://schemas.openxmlformats.org/officeDocument/2006/relationships/footer" Target="footer57.xml"/><Relationship Id="rId75" Type="http://schemas.openxmlformats.org/officeDocument/2006/relationships/footer" Target="footer62.xml"/><Relationship Id="rId83" Type="http://schemas.openxmlformats.org/officeDocument/2006/relationships/footer" Target="footer70.xml"/><Relationship Id="rId88" Type="http://schemas.openxmlformats.org/officeDocument/2006/relationships/footer" Target="footer75.xml"/><Relationship Id="rId91" Type="http://schemas.openxmlformats.org/officeDocument/2006/relationships/footer" Target="footer78.xml"/><Relationship Id="rId96" Type="http://schemas.openxmlformats.org/officeDocument/2006/relationships/footer" Target="footer83.xml"/><Relationship Id="rId111" Type="http://schemas.openxmlformats.org/officeDocument/2006/relationships/footer" Target="footer9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57" Type="http://schemas.openxmlformats.org/officeDocument/2006/relationships/footer" Target="footer44.xml"/><Relationship Id="rId106" Type="http://schemas.openxmlformats.org/officeDocument/2006/relationships/footer" Target="footer93.xml"/><Relationship Id="rId114" Type="http://schemas.openxmlformats.org/officeDocument/2006/relationships/footer" Target="footer101.xml"/><Relationship Id="rId119" Type="http://schemas.openxmlformats.org/officeDocument/2006/relationships/footer" Target="footer106.xm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60" Type="http://schemas.openxmlformats.org/officeDocument/2006/relationships/footer" Target="footer47.xml"/><Relationship Id="rId65" Type="http://schemas.openxmlformats.org/officeDocument/2006/relationships/footer" Target="footer52.xml"/><Relationship Id="rId73" Type="http://schemas.openxmlformats.org/officeDocument/2006/relationships/footer" Target="footer60.xml"/><Relationship Id="rId78" Type="http://schemas.openxmlformats.org/officeDocument/2006/relationships/footer" Target="footer65.xml"/><Relationship Id="rId81" Type="http://schemas.openxmlformats.org/officeDocument/2006/relationships/footer" Target="footer68.xml"/><Relationship Id="rId86" Type="http://schemas.openxmlformats.org/officeDocument/2006/relationships/footer" Target="footer73.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ivsc.org/" TargetMode="External"/><Relationship Id="rId18" Type="http://schemas.openxmlformats.org/officeDocument/2006/relationships/footer" Target="footer5.xml"/><Relationship Id="rId39" Type="http://schemas.openxmlformats.org/officeDocument/2006/relationships/footer" Target="footer26.xml"/><Relationship Id="rId109" Type="http://schemas.openxmlformats.org/officeDocument/2006/relationships/footer" Target="footer9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7.xml"/><Relationship Id="rId125" Type="http://schemas.openxmlformats.org/officeDocument/2006/relationships/image" Target="media/image7.png"/><Relationship Id="rId7" Type="http://schemas.openxmlformats.org/officeDocument/2006/relationships/image" Target="media/image1.png"/><Relationship Id="rId71" Type="http://schemas.openxmlformats.org/officeDocument/2006/relationships/footer" Target="footer58.xml"/><Relationship Id="rId92" Type="http://schemas.openxmlformats.org/officeDocument/2006/relationships/footer" Target="footer79.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footer" Target="footer102.xml"/><Relationship Id="rId61" Type="http://schemas.openxmlformats.org/officeDocument/2006/relationships/footer" Target="footer48.xml"/><Relationship Id="rId82" Type="http://schemas.openxmlformats.org/officeDocument/2006/relationships/footer" Target="footer6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85"/>
    <w:rsid w:val="002E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362CBAF49284150A7EC39724E2A0E69">
    <w:name w:val="5362CBAF49284150A7EC39724E2A0E69"/>
    <w:rsid w:val="002E2285"/>
  </w:style>
  <w:style w:type="paragraph" w:customStyle="1" w:styleId="F00E5023F1484D61BAB3D99F5C7F9B17">
    <w:name w:val="F00E5023F1484D61BAB3D99F5C7F9B17"/>
    <w:rsid w:val="002E2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233</Pages>
  <Words>42498</Words>
  <Characters>242239</Characters>
  <Application>Microsoft Office Word</Application>
  <DocSecurity>0</DocSecurity>
  <Lines>2018</Lines>
  <Paragraphs>568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Lala</dc:creator>
  <cp:lastModifiedBy>User</cp:lastModifiedBy>
  <cp:revision>46</cp:revision>
  <dcterms:created xsi:type="dcterms:W3CDTF">2017-08-24T10:11:00Z</dcterms:created>
  <dcterms:modified xsi:type="dcterms:W3CDTF">2019-06-11T12:04:00Z</dcterms:modified>
</cp:coreProperties>
</file>